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A4D2" w14:textId="176B1821" w:rsidR="00F76B99" w:rsidRDefault="00925B4F" w:rsidP="00925B4F">
      <w:pPr>
        <w:pStyle w:val="Heading1"/>
      </w:pPr>
      <w:r>
        <w:t>April 2023 Compliance Recap</w:t>
      </w:r>
    </w:p>
    <w:p w14:paraId="6E6E2663" w14:textId="521D25E0" w:rsidR="00925B4F" w:rsidRDefault="00925B4F" w:rsidP="00925B4F">
      <w:r>
        <w:t>Presented by United Benefits Advisors</w:t>
      </w:r>
    </w:p>
    <w:p w14:paraId="76D05E1B" w14:textId="77777777" w:rsidR="00925B4F" w:rsidRDefault="00925B4F" w:rsidP="00925B4F"/>
    <w:p w14:paraId="0C7A5632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While the compliance focus for April continues to be on the Prescription Drug Data Collection (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RxDC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>) of the Consolidated Appropriations Act, 2021, the Centers for Medicare and Medicaid Services (CMS) released a Fact Sheet announcing the 2024 benefit parameters for Medicare Part D.</w:t>
      </w:r>
    </w:p>
    <w:p w14:paraId="4C496D8B" w14:textId="77777777" w:rsidR="00925B4F" w:rsidRDefault="00925B4F" w:rsidP="00925B4F">
      <w:pPr>
        <w:pStyle w:val="Heading5"/>
        <w:shd w:val="clear" w:color="auto" w:fill="FFFFFF"/>
        <w:spacing w:before="0" w:after="210" w:line="270" w:lineRule="atLeast"/>
        <w:rPr>
          <w:rFonts w:ascii="Open Sans" w:hAnsi="Open Sans" w:cs="Open Sans"/>
          <w:caps w:val="0"/>
          <w:color w:val="21578A"/>
          <w:sz w:val="21"/>
          <w:szCs w:val="21"/>
        </w:rPr>
      </w:pPr>
      <w:r>
        <w:rPr>
          <w:rFonts w:ascii="Open Sans" w:hAnsi="Open Sans" w:cs="Open Sans"/>
          <w:color w:val="21578A"/>
          <w:sz w:val="21"/>
          <w:szCs w:val="21"/>
        </w:rPr>
        <w:br/>
      </w:r>
      <w:r>
        <w:rPr>
          <w:rFonts w:ascii="Open Sans" w:hAnsi="Open Sans" w:cs="Open Sans"/>
          <w:b/>
          <w:bCs/>
          <w:color w:val="00263A"/>
          <w:sz w:val="27"/>
          <w:szCs w:val="27"/>
        </w:rPr>
        <w:t>2024 BENEFIT PARAMETERS FOR MEDICARE PART D CREDITABLE COVERAGE DISCLOSURES ANNOUNCED</w:t>
      </w:r>
      <w:r>
        <w:rPr>
          <w:rFonts w:ascii="Open Sans" w:hAnsi="Open Sans" w:cs="Open Sans"/>
          <w:b/>
          <w:bCs/>
          <w:color w:val="00263A"/>
          <w:sz w:val="27"/>
          <w:szCs w:val="27"/>
        </w:rPr>
        <w:br/>
      </w:r>
    </w:p>
    <w:p w14:paraId="37FC3BDF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The Centers for Medicare and Medicaid Services (CMS) released a </w:t>
      </w:r>
      <w:hyperlink r:id="rId5" w:tgtFrame="_blank" w:history="1">
        <w:r>
          <w:rPr>
            <w:rStyle w:val="Hyperlink"/>
            <w:rFonts w:ascii="Open Sans" w:hAnsi="Open Sans" w:cs="Open Sans"/>
            <w:color w:val="2881C4"/>
            <w:sz w:val="21"/>
            <w:szCs w:val="21"/>
            <w:u w:val="none"/>
          </w:rPr>
          <w:t>Fact Sheet</w:t>
        </w:r>
      </w:hyperlink>
      <w:r>
        <w:rPr>
          <w:rFonts w:ascii="Open Sans" w:hAnsi="Open Sans" w:cs="Open Sans"/>
          <w:color w:val="777777"/>
          <w:sz w:val="21"/>
          <w:szCs w:val="21"/>
        </w:rPr>
        <w:t> announcing the 2024 benefit parameters for Medicare Part D. These factors are used to determine the actuarial value of defined standard Medicare Part D coverage under CMS guidelines.</w:t>
      </w:r>
    </w:p>
    <w:p w14:paraId="6291B3B3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Each year, Medicare Part D requires that employers offering prescription drug coverage to Part D eligible individuals (including active or disabled employees, retirees, COBRA participants, and beneficiaries) disclose to those individuals and CMS whether the prescription plan coverage offered is creditable or non-creditable. Creditable coverage meets or exceeds the value of defined standard Medicare Part D coverage.</w:t>
      </w:r>
    </w:p>
    <w:p w14:paraId="0AA7C421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Insurance carriers and providers of the prescription benefit will typically notify the plan sponsor if their prescription plan is creditable or non-creditable. The 2024 parameters for Medicare Part D are:</w:t>
      </w:r>
    </w:p>
    <w:tbl>
      <w:tblPr>
        <w:tblW w:w="9526" w:type="dxa"/>
        <w:tblBorders>
          <w:top w:val="single" w:sz="6" w:space="0" w:color="99ACC2"/>
          <w:left w:val="single" w:sz="6" w:space="0" w:color="99ACC2"/>
          <w:bottom w:val="single" w:sz="6" w:space="0" w:color="99ACC2"/>
          <w:right w:val="single" w:sz="6" w:space="0" w:color="99AC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2103"/>
        <w:gridCol w:w="2073"/>
      </w:tblGrid>
      <w:tr w:rsidR="00925B4F" w14:paraId="25B30804" w14:textId="77777777" w:rsidTr="00925B4F">
        <w:trPr>
          <w:trHeight w:val="825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BE141" w14:textId="77777777" w:rsidR="00925B4F" w:rsidRDefault="0092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D6E75" w14:textId="77777777" w:rsidR="00925B4F" w:rsidRDefault="00925B4F">
            <w:pPr>
              <w:jc w:val="center"/>
            </w:pPr>
            <w:r>
              <w:t>2024</w:t>
            </w:r>
            <w:r>
              <w:br/>
              <w:t>Parameter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32AF1" w14:textId="77777777" w:rsidR="00925B4F" w:rsidRDefault="00925B4F">
            <w:pPr>
              <w:jc w:val="center"/>
            </w:pPr>
            <w:r>
              <w:t>2023</w:t>
            </w:r>
            <w:r>
              <w:br/>
              <w:t>Parameter</w:t>
            </w:r>
          </w:p>
        </w:tc>
      </w:tr>
      <w:tr w:rsidR="00925B4F" w14:paraId="3232FD2C" w14:textId="77777777" w:rsidTr="00925B4F">
        <w:trPr>
          <w:trHeight w:val="510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73839" w14:textId="77777777" w:rsidR="00925B4F" w:rsidRDefault="00925B4F">
            <w:r>
              <w:t>Deductible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4DA72" w14:textId="77777777" w:rsidR="00925B4F" w:rsidRDefault="00925B4F">
            <w:pPr>
              <w:jc w:val="center"/>
            </w:pPr>
            <w:r>
              <w:t>$545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D04EF" w14:textId="77777777" w:rsidR="00925B4F" w:rsidRDefault="00925B4F">
            <w:pPr>
              <w:jc w:val="center"/>
            </w:pPr>
            <w:r>
              <w:t>$505</w:t>
            </w:r>
          </w:p>
        </w:tc>
      </w:tr>
      <w:tr w:rsidR="00925B4F" w14:paraId="34CEAF8C" w14:textId="77777777" w:rsidTr="00925B4F">
        <w:trPr>
          <w:trHeight w:val="525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74B3C" w14:textId="77777777" w:rsidR="00925B4F" w:rsidRDefault="00925B4F">
            <w:r>
              <w:t>Initial coverage limit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E3D3A" w14:textId="77777777" w:rsidR="00925B4F" w:rsidRDefault="00925B4F">
            <w:pPr>
              <w:jc w:val="center"/>
            </w:pPr>
            <w:r>
              <w:t>$5,030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F9A49" w14:textId="77777777" w:rsidR="00925B4F" w:rsidRDefault="00925B4F">
            <w:pPr>
              <w:jc w:val="center"/>
            </w:pPr>
            <w:r>
              <w:t>$4,660</w:t>
            </w:r>
          </w:p>
        </w:tc>
      </w:tr>
      <w:tr w:rsidR="00925B4F" w14:paraId="56FAFD73" w14:textId="77777777" w:rsidTr="00925B4F">
        <w:trPr>
          <w:trHeight w:val="570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15D35" w14:textId="77777777" w:rsidR="00925B4F" w:rsidRDefault="00925B4F">
            <w:r>
              <w:t>Out-of-pocket threshold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1A1CF" w14:textId="77777777" w:rsidR="00925B4F" w:rsidRDefault="00925B4F">
            <w:pPr>
              <w:jc w:val="center"/>
            </w:pPr>
            <w:r>
              <w:t>$8,000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936E0" w14:textId="77777777" w:rsidR="00925B4F" w:rsidRDefault="00925B4F">
            <w:pPr>
              <w:jc w:val="center"/>
            </w:pPr>
            <w:r>
              <w:t>$7,400</w:t>
            </w:r>
          </w:p>
        </w:tc>
      </w:tr>
      <w:tr w:rsidR="00925B4F" w14:paraId="7DB7E0AA" w14:textId="77777777" w:rsidTr="00925B4F">
        <w:trPr>
          <w:trHeight w:val="1230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A08F4" w14:textId="77777777" w:rsidR="00925B4F" w:rsidRDefault="00925B4F">
            <w:r>
              <w:lastRenderedPageBreak/>
              <w:t>Total covered Part D spending at the out-of-pocket expense threshold for beneficiaries who are not eligible for the coverage gap discount program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67339" w14:textId="77777777" w:rsidR="00925B4F" w:rsidRDefault="00925B4F">
            <w:pPr>
              <w:jc w:val="center"/>
            </w:pPr>
            <w:r>
              <w:t>$11,477.39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F31D7" w14:textId="77777777" w:rsidR="00925B4F" w:rsidRDefault="00925B4F">
            <w:pPr>
              <w:jc w:val="center"/>
            </w:pPr>
            <w:r>
              <w:t>$10,516.25</w:t>
            </w:r>
          </w:p>
        </w:tc>
      </w:tr>
      <w:tr w:rsidR="00925B4F" w14:paraId="4C1E73A5" w14:textId="77777777" w:rsidTr="00925B4F">
        <w:trPr>
          <w:trHeight w:val="1365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2D89D" w14:textId="77777777" w:rsidR="00925B4F" w:rsidRDefault="00925B4F">
            <w:r>
              <w:t>Estimated total covered Part D spending at the out-of-pocket expense threshold for beneficiaries who are eligible for the coverage gap discount program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CC671" w14:textId="77777777" w:rsidR="00925B4F" w:rsidRDefault="00925B4F">
            <w:pPr>
              <w:jc w:val="center"/>
            </w:pPr>
            <w:r>
              <w:t>$12,447.11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5BADC" w14:textId="77777777" w:rsidR="00925B4F" w:rsidRDefault="00925B4F">
            <w:pPr>
              <w:jc w:val="center"/>
            </w:pPr>
            <w:r>
              <w:t>$11,206.28</w:t>
            </w:r>
          </w:p>
        </w:tc>
      </w:tr>
    </w:tbl>
    <w:p w14:paraId="47476618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br/>
        <w:t>The </w:t>
      </w:r>
      <w:hyperlink r:id="rId6" w:tgtFrame="_blank" w:history="1">
        <w:r>
          <w:rPr>
            <w:rStyle w:val="Hyperlink"/>
            <w:rFonts w:ascii="Open Sans" w:hAnsi="Open Sans" w:cs="Open Sans"/>
            <w:color w:val="2881C4"/>
            <w:sz w:val="21"/>
            <w:szCs w:val="21"/>
            <w:u w:val="none"/>
          </w:rPr>
          <w:t>Online Disclosure to CMS Form</w:t>
        </w:r>
      </w:hyperlink>
      <w:r>
        <w:rPr>
          <w:rFonts w:ascii="Open Sans" w:hAnsi="Open Sans" w:cs="Open Sans"/>
          <w:color w:val="777777"/>
          <w:sz w:val="21"/>
          <w:szCs w:val="21"/>
        </w:rPr>
        <w:t> must be submitted to CMS annually, and upon any change that affects whether the drug coverage is creditable:</w:t>
      </w:r>
    </w:p>
    <w:p w14:paraId="192488CD" w14:textId="77777777" w:rsidR="00925B4F" w:rsidRDefault="00925B4F" w:rsidP="00925B4F">
      <w:pPr>
        <w:numPr>
          <w:ilvl w:val="0"/>
          <w:numId w:val="1"/>
        </w:numPr>
        <w:shd w:val="clear" w:color="auto" w:fill="FFFFFF"/>
        <w:spacing w:after="150" w:line="360" w:lineRule="atLeast"/>
        <w:ind w:left="945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Within 60 days after the beginning date of the plan year</w:t>
      </w:r>
    </w:p>
    <w:p w14:paraId="29A0F166" w14:textId="77777777" w:rsidR="00925B4F" w:rsidRDefault="00925B4F" w:rsidP="00925B4F">
      <w:pPr>
        <w:numPr>
          <w:ilvl w:val="0"/>
          <w:numId w:val="1"/>
        </w:numPr>
        <w:shd w:val="clear" w:color="auto" w:fill="FFFFFF"/>
        <w:spacing w:after="150" w:line="360" w:lineRule="atLeast"/>
        <w:ind w:left="945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Within 30 days after the termination of the prescription drug plan</w:t>
      </w:r>
    </w:p>
    <w:p w14:paraId="1E599020" w14:textId="77777777" w:rsidR="00925B4F" w:rsidRDefault="00925B4F" w:rsidP="00925B4F">
      <w:pPr>
        <w:numPr>
          <w:ilvl w:val="0"/>
          <w:numId w:val="1"/>
        </w:numPr>
        <w:shd w:val="clear" w:color="auto" w:fill="FFFFFF"/>
        <w:spacing w:after="150" w:line="360" w:lineRule="atLeast"/>
        <w:ind w:left="945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Within 30 days after any change in the creditable coverage status of the prescription drug plan</w:t>
      </w:r>
    </w:p>
    <w:p w14:paraId="6CFAECB2" w14:textId="77777777" w:rsidR="00925B4F" w:rsidRDefault="00925B4F" w:rsidP="00925B4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 </w:t>
      </w:r>
    </w:p>
    <w:p w14:paraId="39318CF9" w14:textId="2B80EFC0" w:rsidR="00925B4F" w:rsidRPr="00925B4F" w:rsidRDefault="00925B4F" w:rsidP="00925B4F"/>
    <w:sectPr w:rsidR="00925B4F" w:rsidRPr="0092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7F9"/>
    <w:multiLevelType w:val="multilevel"/>
    <w:tmpl w:val="FE4E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7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F"/>
    <w:rsid w:val="0038631E"/>
    <w:rsid w:val="00610F18"/>
    <w:rsid w:val="00925B4F"/>
    <w:rsid w:val="00DD626B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D547"/>
  <w15:chartTrackingRefBased/>
  <w15:docId w15:val="{B788A486-A0E8-49B1-841F-0A29BA3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18"/>
  </w:style>
  <w:style w:type="paragraph" w:styleId="Heading1">
    <w:name w:val="heading 1"/>
    <w:basedOn w:val="Normal"/>
    <w:next w:val="Normal"/>
    <w:link w:val="Heading1Char"/>
    <w:uiPriority w:val="9"/>
    <w:qFormat/>
    <w:rsid w:val="00610F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1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18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2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B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1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1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1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1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F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10F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0F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F1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10F18"/>
    <w:rPr>
      <w:b/>
      <w:bCs/>
    </w:rPr>
  </w:style>
  <w:style w:type="character" w:styleId="Emphasis">
    <w:name w:val="Emphasis"/>
    <w:basedOn w:val="DefaultParagraphFont"/>
    <w:uiPriority w:val="20"/>
    <w:qFormat/>
    <w:rsid w:val="00610F18"/>
    <w:rPr>
      <w:i/>
      <w:iCs/>
    </w:rPr>
  </w:style>
  <w:style w:type="paragraph" w:styleId="NoSpacing">
    <w:name w:val="No Spacing"/>
    <w:uiPriority w:val="1"/>
    <w:qFormat/>
    <w:rsid w:val="00610F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0F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0F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0F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0F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0F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10F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10F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F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medicare/prescription-drug-coverage/creditablecoverage" TargetMode="External"/><Relationship Id="rId5" Type="http://schemas.openxmlformats.org/officeDocument/2006/relationships/hyperlink" Target="https://www.cms.gov/newsroom/fact-sheets/fact-sheet-2024-medicare-advantage-and-part-d-rate-announc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Seip</dc:creator>
  <cp:keywords/>
  <dc:description/>
  <cp:lastModifiedBy>Danielle Seip</cp:lastModifiedBy>
  <cp:revision>2</cp:revision>
  <dcterms:created xsi:type="dcterms:W3CDTF">2023-05-11T16:28:00Z</dcterms:created>
  <dcterms:modified xsi:type="dcterms:W3CDTF">2023-05-11T16:44:00Z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9577f073-91ce-41d1-a81a-3d9ce63a16fc</vt:lpwstr>
  </property>
</Properties>
</file>