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4C10" w14:textId="46424FB9" w:rsidR="00427646" w:rsidRDefault="00EB13F7">
      <w:pPr>
        <w:rPr>
          <w:rFonts w:asciiTheme="majorHAnsi" w:hAnsiTheme="majorHAnsi" w:cstheme="majorHAnsi"/>
          <w:color w:val="1F3864" w:themeColor="accent1" w:themeShade="80"/>
          <w:sz w:val="36"/>
          <w:szCs w:val="36"/>
        </w:rPr>
      </w:pPr>
      <w:r w:rsidRPr="00EB13F7">
        <w:rPr>
          <w:rFonts w:asciiTheme="majorHAnsi" w:hAnsiTheme="majorHAnsi" w:cstheme="majorHAnsi"/>
          <w:color w:val="1F3864" w:themeColor="accent1" w:themeShade="80"/>
          <w:sz w:val="36"/>
          <w:szCs w:val="36"/>
        </w:rPr>
        <w:t xml:space="preserve">December </w:t>
      </w:r>
      <w:r>
        <w:rPr>
          <w:rFonts w:asciiTheme="majorHAnsi" w:hAnsiTheme="majorHAnsi" w:cstheme="majorHAnsi"/>
          <w:color w:val="1F3864" w:themeColor="accent1" w:themeShade="80"/>
          <w:sz w:val="36"/>
          <w:szCs w:val="36"/>
        </w:rPr>
        <w:t>202</w:t>
      </w:r>
      <w:r w:rsidR="00873726">
        <w:rPr>
          <w:rFonts w:asciiTheme="majorHAnsi" w:hAnsiTheme="majorHAnsi" w:cstheme="majorHAnsi"/>
          <w:color w:val="1F3864" w:themeColor="accent1" w:themeShade="80"/>
          <w:sz w:val="36"/>
          <w:szCs w:val="36"/>
        </w:rPr>
        <w:t>2</w:t>
      </w:r>
      <w:r>
        <w:rPr>
          <w:rFonts w:asciiTheme="majorHAnsi" w:hAnsiTheme="majorHAnsi" w:cstheme="majorHAnsi"/>
          <w:color w:val="1F3864" w:themeColor="accent1" w:themeShade="80"/>
          <w:sz w:val="36"/>
          <w:szCs w:val="36"/>
        </w:rPr>
        <w:t xml:space="preserve"> Compliance Recap </w:t>
      </w:r>
    </w:p>
    <w:p w14:paraId="798074E7" w14:textId="43C39067" w:rsidR="00EB13F7" w:rsidRDefault="00EB13F7">
      <w:pPr>
        <w:rPr>
          <w:rFonts w:cstheme="minorHAnsi"/>
        </w:rPr>
      </w:pPr>
      <w:r>
        <w:rPr>
          <w:rFonts w:cstheme="minorHAnsi"/>
        </w:rPr>
        <w:t>Presented By United Benefits Advisors</w:t>
      </w:r>
    </w:p>
    <w:p w14:paraId="2BD318E0" w14:textId="77777777" w:rsidR="00EB13F7" w:rsidRDefault="00EB13F7">
      <w:pPr>
        <w:rPr>
          <w:rFonts w:cstheme="minorHAnsi"/>
        </w:rPr>
      </w:pPr>
    </w:p>
    <w:p w14:paraId="54111BFF" w14:textId="77777777" w:rsidR="00EB13F7" w:rsidRDefault="00EB13F7" w:rsidP="00EB13F7">
      <w:pPr>
        <w:shd w:val="clear" w:color="auto" w:fill="FFFFFF"/>
        <w:spacing w:after="210" w:line="270" w:lineRule="atLeast"/>
        <w:outlineLvl w:val="4"/>
        <w:rPr>
          <w:rFonts w:cstheme="minorHAnsi"/>
        </w:rPr>
      </w:pPr>
    </w:p>
    <w:p w14:paraId="34225B35" w14:textId="3AE3E691" w:rsidR="00EB13F7" w:rsidRPr="00EB13F7" w:rsidRDefault="00EB13F7" w:rsidP="00EB13F7">
      <w:pPr>
        <w:shd w:val="clear" w:color="auto" w:fill="FFFFFF"/>
        <w:spacing w:after="210" w:line="270" w:lineRule="atLeast"/>
        <w:outlineLvl w:val="4"/>
        <w:rPr>
          <w:rFonts w:ascii="Open Sans" w:eastAsia="Times New Roman" w:hAnsi="Open Sans" w:cs="Open Sans"/>
          <w:b/>
          <w:bCs/>
          <w:caps/>
          <w:color w:val="21578A"/>
          <w:sz w:val="21"/>
          <w:szCs w:val="21"/>
        </w:rPr>
      </w:pPr>
      <w:r w:rsidRPr="00EB13F7">
        <w:rPr>
          <w:rFonts w:ascii="Open Sans" w:eastAsia="Times New Roman" w:hAnsi="Open Sans" w:cs="Open Sans"/>
          <w:b/>
          <w:bCs/>
          <w:caps/>
          <w:color w:val="21578A"/>
          <w:sz w:val="21"/>
          <w:szCs w:val="21"/>
        </w:rPr>
        <w:br/>
      </w:r>
      <w:r w:rsidRPr="00EB13F7">
        <w:rPr>
          <w:rFonts w:ascii="Open Sans" w:eastAsia="Times New Roman" w:hAnsi="Open Sans" w:cs="Open Sans"/>
          <w:caps/>
          <w:color w:val="00263A"/>
          <w:sz w:val="27"/>
          <w:szCs w:val="27"/>
        </w:rPr>
        <w:t>U.S. DEPARTMENT OF LABOR RELEASES INFORMATIONAL COPIES OF 2022 FORM 5500 SERIES ANNUAL RETURN AND REPORT</w:t>
      </w:r>
    </w:p>
    <w:p w14:paraId="2511BD66"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Informational copies of the 2022 Form 5500, Form 5500-SF, and their related instructions were released by the U.S. Department of Labor’s Employee Benefits Security Administration, the IRS, and the Pension Benefit Guaranty Corp. Informational copies of the IRS 2022 Form 5500-EZ and its instructions will be separately released on the IRS website after Jan. 1, 2023.</w:t>
      </w:r>
    </w:p>
    <w:p w14:paraId="349BADEC"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Employers use Form 5500 to report on financial condition, investments, and operations to ensure that regulators and employee benefit participants and beneficiaries have access to accurate information about plan operations.</w:t>
      </w:r>
    </w:p>
    <w:p w14:paraId="536C1598"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Notable changes to this year’s form 5500 series are related to:</w:t>
      </w:r>
    </w:p>
    <w:p w14:paraId="74854068" w14:textId="77777777" w:rsidR="00EB13F7" w:rsidRPr="00EB13F7" w:rsidRDefault="00EB13F7" w:rsidP="00EB13F7">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Multiple-employer plans</w:t>
      </w:r>
    </w:p>
    <w:p w14:paraId="3704CDF8" w14:textId="77777777" w:rsidR="00EB13F7" w:rsidRPr="00EB13F7" w:rsidRDefault="00EB13F7" w:rsidP="00EB13F7">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Administrative penalties</w:t>
      </w:r>
    </w:p>
    <w:p w14:paraId="4E5E640E" w14:textId="77777777" w:rsidR="00EB13F7" w:rsidRPr="00EB13F7" w:rsidRDefault="00EB13F7" w:rsidP="00EB13F7">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Schedule MB for multiemployer defined benefit plan and certain money purchase plan actuarial information</w:t>
      </w:r>
    </w:p>
    <w:p w14:paraId="1631596F" w14:textId="77777777" w:rsidR="00EB13F7" w:rsidRPr="00EB13F7" w:rsidRDefault="00EB13F7" w:rsidP="00EB13F7">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Schedule R for retirement plan information</w:t>
      </w:r>
    </w:p>
    <w:p w14:paraId="7E40C3D3" w14:textId="77777777" w:rsidR="00EB13F7" w:rsidRPr="00EB13F7" w:rsidRDefault="00EB13F7" w:rsidP="00EB13F7">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 xml:space="preserve">Schedule SB for single employer defined benefit plan actuarial </w:t>
      </w:r>
      <w:proofErr w:type="gramStart"/>
      <w:r w:rsidRPr="00EB13F7">
        <w:rPr>
          <w:rFonts w:ascii="Open Sans" w:eastAsia="Times New Roman" w:hAnsi="Open Sans" w:cs="Open Sans"/>
          <w:color w:val="777777"/>
          <w:sz w:val="21"/>
          <w:szCs w:val="21"/>
        </w:rPr>
        <w:t>information</w:t>
      </w:r>
      <w:proofErr w:type="gramEnd"/>
    </w:p>
    <w:p w14:paraId="15A560F4"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hyperlink r:id="rId7" w:tgtFrame="_blank" w:history="1">
        <w:r w:rsidRPr="00EB13F7">
          <w:rPr>
            <w:rFonts w:ascii="Open Sans" w:eastAsia="Times New Roman" w:hAnsi="Open Sans" w:cs="Open Sans"/>
            <w:color w:val="2881C4"/>
            <w:sz w:val="21"/>
            <w:szCs w:val="21"/>
            <w:u w:val="single"/>
          </w:rPr>
          <w:t>Informational copies</w:t>
        </w:r>
      </w:hyperlink>
      <w:r w:rsidRPr="00EB13F7">
        <w:rPr>
          <w:rFonts w:ascii="Open Sans" w:eastAsia="Times New Roman" w:hAnsi="Open Sans" w:cs="Open Sans"/>
          <w:color w:val="777777"/>
          <w:sz w:val="21"/>
          <w:szCs w:val="21"/>
        </w:rPr>
        <w:t> cannot be used to file a 2022 Form 5500 Series Annual Return/Report. Official electronic versions will be available on the EFAST website at </w:t>
      </w:r>
      <w:hyperlink r:id="rId8" w:tgtFrame="_blank" w:history="1">
        <w:r w:rsidRPr="00EB13F7">
          <w:rPr>
            <w:rFonts w:ascii="Open Sans" w:eastAsia="Times New Roman" w:hAnsi="Open Sans" w:cs="Open Sans"/>
            <w:color w:val="2881C4"/>
            <w:sz w:val="21"/>
            <w:szCs w:val="21"/>
            <w:u w:val="single"/>
          </w:rPr>
          <w:t>efast.dol.gov</w:t>
        </w:r>
      </w:hyperlink>
      <w:r w:rsidRPr="00EB13F7">
        <w:rPr>
          <w:rFonts w:ascii="Open Sans" w:eastAsia="Times New Roman" w:hAnsi="Open Sans" w:cs="Open Sans"/>
          <w:color w:val="777777"/>
          <w:sz w:val="21"/>
          <w:szCs w:val="21"/>
        </w:rPr>
        <w:t>.</w:t>
      </w:r>
    </w:p>
    <w:p w14:paraId="04852851"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7"/>
          <w:szCs w:val="27"/>
        </w:rPr>
      </w:pPr>
      <w:r w:rsidRPr="00EB13F7">
        <w:rPr>
          <w:rFonts w:ascii="Open Sans" w:eastAsia="Times New Roman" w:hAnsi="Open Sans" w:cs="Open Sans"/>
          <w:color w:val="777777"/>
          <w:sz w:val="27"/>
          <w:szCs w:val="27"/>
        </w:rPr>
        <w:t> </w:t>
      </w:r>
    </w:p>
    <w:p w14:paraId="03685D55" w14:textId="77777777" w:rsidR="00EB13F7" w:rsidRPr="00EB13F7" w:rsidRDefault="00EB13F7" w:rsidP="00EB13F7">
      <w:pPr>
        <w:shd w:val="clear" w:color="auto" w:fill="FFFFFF"/>
        <w:spacing w:after="210" w:line="270" w:lineRule="atLeast"/>
        <w:outlineLvl w:val="4"/>
        <w:rPr>
          <w:rFonts w:ascii="Open Sans" w:eastAsia="Times New Roman" w:hAnsi="Open Sans" w:cs="Open Sans"/>
          <w:caps/>
          <w:color w:val="21578A"/>
          <w:sz w:val="27"/>
          <w:szCs w:val="27"/>
        </w:rPr>
      </w:pPr>
      <w:r w:rsidRPr="00EB13F7">
        <w:rPr>
          <w:rFonts w:ascii="Open Sans" w:eastAsia="Times New Roman" w:hAnsi="Open Sans" w:cs="Open Sans"/>
          <w:caps/>
          <w:color w:val="00263A"/>
          <w:sz w:val="27"/>
          <w:szCs w:val="27"/>
        </w:rPr>
        <w:t>PRESCRIPTION DRUG REPORTING MANDATE GOES INTO EFFECT</w:t>
      </w:r>
    </w:p>
    <w:p w14:paraId="55D1384E"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December 27, 2022, marked the start of the prescription drug reporting mandate intended to make prescription drug pricing more transparent and to assist the Departments of Labor, Treasury, and Health and Human Services with preparing a biannual, publicly available report on prescription drug pricing.</w:t>
      </w:r>
    </w:p>
    <w:p w14:paraId="5669EB8A"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lastRenderedPageBreak/>
        <w:t>Challenges include modifying contractual agreements to enable disclosure, transferring the required data between various entities, developing internal processes and procedures, and identifying, compiling, preparing, and validating the required data led to an extension of the original due date of December 27, 2021.</w:t>
      </w:r>
    </w:p>
    <w:p w14:paraId="387DF9DB"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mandate requires only that group health plans and health insurance issuers submit reports about prescription drugs and health care spending, including but not limited to:</w:t>
      </w:r>
    </w:p>
    <w:p w14:paraId="53E70F8A" w14:textId="77777777" w:rsidR="00EB13F7" w:rsidRPr="00EB13F7" w:rsidRDefault="00EB13F7" w:rsidP="00EB13F7">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50 most frequently dispensed brand prescription drugs, and the total number of paid claims for each such drug</w:t>
      </w:r>
    </w:p>
    <w:p w14:paraId="624BF7D3" w14:textId="77777777" w:rsidR="00EB13F7" w:rsidRPr="00EB13F7" w:rsidRDefault="00EB13F7" w:rsidP="00EB13F7">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 xml:space="preserve">The 50 most costly prescription drugs by total annual spending, and the annual amount spent by the plan or coverage for each such </w:t>
      </w:r>
      <w:proofErr w:type="gramStart"/>
      <w:r w:rsidRPr="00EB13F7">
        <w:rPr>
          <w:rFonts w:ascii="Open Sans" w:eastAsia="Times New Roman" w:hAnsi="Open Sans" w:cs="Open Sans"/>
          <w:color w:val="777777"/>
          <w:sz w:val="21"/>
          <w:szCs w:val="21"/>
        </w:rPr>
        <w:t>drug</w:t>
      </w:r>
      <w:proofErr w:type="gramEnd"/>
    </w:p>
    <w:p w14:paraId="176F3990" w14:textId="77777777" w:rsidR="00EB13F7" w:rsidRPr="00EB13F7" w:rsidRDefault="00EB13F7" w:rsidP="00EB13F7">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50 prescription drugs with the greatest increase in plan expenditures over the plan year preceding the plan year that is the subject of the report, and, for each such drug, the change in amounts expended by the plan or coverage in each such plan year.</w:t>
      </w:r>
    </w:p>
    <w:p w14:paraId="21000FF9"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relevant departments have now issued </w:t>
      </w:r>
      <w:hyperlink r:id="rId9" w:tgtFrame="_blank" w:history="1">
        <w:r w:rsidRPr="00EB13F7">
          <w:rPr>
            <w:rFonts w:ascii="Open Sans" w:eastAsia="Times New Roman" w:hAnsi="Open Sans" w:cs="Open Sans"/>
            <w:color w:val="2881C4"/>
            <w:sz w:val="21"/>
            <w:szCs w:val="21"/>
            <w:u w:val="single"/>
          </w:rPr>
          <w:t>interim final rules</w:t>
        </w:r>
      </w:hyperlink>
      <w:r w:rsidRPr="00EB13F7">
        <w:rPr>
          <w:rFonts w:ascii="Open Sans" w:eastAsia="Times New Roman" w:hAnsi="Open Sans" w:cs="Open Sans"/>
          <w:color w:val="777777"/>
          <w:sz w:val="21"/>
          <w:szCs w:val="21"/>
        </w:rPr>
        <w:t> detailing the data to report and recently updated </w:t>
      </w:r>
      <w:hyperlink r:id="rId10" w:tgtFrame="_blank" w:history="1">
        <w:r w:rsidRPr="00EB13F7">
          <w:rPr>
            <w:rFonts w:ascii="Open Sans" w:eastAsia="Times New Roman" w:hAnsi="Open Sans" w:cs="Open Sans"/>
            <w:color w:val="2881C4"/>
            <w:sz w:val="21"/>
            <w:szCs w:val="21"/>
            <w:u w:val="single"/>
          </w:rPr>
          <w:t>submission instructions</w:t>
        </w:r>
      </w:hyperlink>
      <w:r w:rsidRPr="00EB13F7">
        <w:rPr>
          <w:rFonts w:ascii="Open Sans" w:eastAsia="Times New Roman" w:hAnsi="Open Sans" w:cs="Open Sans"/>
          <w:color w:val="777777"/>
          <w:sz w:val="21"/>
          <w:szCs w:val="21"/>
        </w:rPr>
        <w:t> describing the reporting process.</w:t>
      </w:r>
    </w:p>
    <w:p w14:paraId="1A7181F3"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 </w:t>
      </w:r>
    </w:p>
    <w:p w14:paraId="0F930D7D" w14:textId="77777777" w:rsidR="00EB13F7" w:rsidRPr="00EB13F7" w:rsidRDefault="00EB13F7" w:rsidP="00EB13F7">
      <w:pPr>
        <w:shd w:val="clear" w:color="auto" w:fill="FFFFFF"/>
        <w:spacing w:after="210" w:line="240" w:lineRule="auto"/>
        <w:outlineLvl w:val="4"/>
        <w:rPr>
          <w:rFonts w:ascii="Open Sans" w:eastAsia="Times New Roman" w:hAnsi="Open Sans" w:cs="Open Sans"/>
          <w:caps/>
          <w:color w:val="21578A"/>
          <w:sz w:val="27"/>
          <w:szCs w:val="27"/>
        </w:rPr>
      </w:pPr>
      <w:r w:rsidRPr="00EB13F7">
        <w:rPr>
          <w:rFonts w:ascii="Open Sans" w:eastAsia="Times New Roman" w:hAnsi="Open Sans" w:cs="Open Sans"/>
          <w:caps/>
          <w:color w:val="00263A"/>
          <w:sz w:val="27"/>
          <w:szCs w:val="27"/>
        </w:rPr>
        <w:t>IRS FINALIZES ACA REPORTING RELIEF AND DEADLINE EXTENSIONS</w:t>
      </w:r>
    </w:p>
    <w:p w14:paraId="17792F75"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Department of the Treasury (Treasury) and the Internal Revenue Service (IRS) released final regulations that provide reporting relief for ACA reporting—Forms 1095-B and 1095-C (collectively, the Forms).</w:t>
      </w:r>
    </w:p>
    <w:p w14:paraId="1F1E5414"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deadline for reporting entities to furnish Forms to individuals has been extended from January 31 to March 2. If this date falls on a weekend day or legal holiday, the Forms are due on the next business day.</w:t>
      </w:r>
    </w:p>
    <w:p w14:paraId="698C3C0F"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final regulations are consistent with the November 2021 proposed regulations and include:</w:t>
      </w:r>
    </w:p>
    <w:p w14:paraId="43E8FF83"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i/>
          <w:iCs/>
          <w:color w:val="777777"/>
          <w:sz w:val="21"/>
          <w:szCs w:val="21"/>
        </w:rPr>
        <w:t>Relief for Applicable Large Employers</w:t>
      </w:r>
      <w:r w:rsidRPr="00EB13F7">
        <w:rPr>
          <w:rFonts w:ascii="Open Sans" w:eastAsia="Times New Roman" w:hAnsi="Open Sans" w:cs="Open Sans"/>
          <w:color w:val="777777"/>
          <w:sz w:val="21"/>
          <w:szCs w:val="21"/>
        </w:rPr>
        <w:br/>
        <w:t>Final regulations allow employers and coverage providers to satisfy their obligation to “furnish” the Forms to part-time employees and non-employees enrolled in the employer’s self-insured plan by posting a “clear and conspicuous notice,” on its website stating that individuals may receive a copy of their Form upon request. The employer must furnish the Form to individuals within 30 days of a request.</w:t>
      </w:r>
    </w:p>
    <w:p w14:paraId="5C9F2C4A"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i/>
          <w:iCs/>
          <w:color w:val="777777"/>
          <w:sz w:val="21"/>
          <w:szCs w:val="21"/>
        </w:rPr>
        <w:lastRenderedPageBreak/>
        <w:t>Relief for Reporting Entities</w:t>
      </w:r>
      <w:r w:rsidRPr="00EB13F7">
        <w:rPr>
          <w:rFonts w:ascii="Open Sans" w:eastAsia="Times New Roman" w:hAnsi="Open Sans" w:cs="Open Sans"/>
          <w:color w:val="777777"/>
          <w:sz w:val="21"/>
          <w:szCs w:val="21"/>
        </w:rPr>
        <w:br/>
        <w:t xml:space="preserve">A reporting entity is not required to send Form 1095-B to the “responsible individual” (i.e., a primary insured or employee) </w:t>
      </w:r>
      <w:proofErr w:type="gramStart"/>
      <w:r w:rsidRPr="00EB13F7">
        <w:rPr>
          <w:rFonts w:ascii="Open Sans" w:eastAsia="Times New Roman" w:hAnsi="Open Sans" w:cs="Open Sans"/>
          <w:color w:val="777777"/>
          <w:sz w:val="21"/>
          <w:szCs w:val="21"/>
        </w:rPr>
        <w:t>as long as</w:t>
      </w:r>
      <w:proofErr w:type="gramEnd"/>
      <w:r w:rsidRPr="00EB13F7">
        <w:rPr>
          <w:rFonts w:ascii="Open Sans" w:eastAsia="Times New Roman" w:hAnsi="Open Sans" w:cs="Open Sans"/>
          <w:color w:val="777777"/>
          <w:sz w:val="21"/>
          <w:szCs w:val="21"/>
        </w:rPr>
        <w:t xml:space="preserve"> the reporting entity posts a “clear and conspicuous notice” on its website stating that individuals may receive a copy of their Form upon request.</w:t>
      </w:r>
    </w:p>
    <w:p w14:paraId="6172FBB5"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 </w:t>
      </w:r>
    </w:p>
    <w:p w14:paraId="132F2D04" w14:textId="77777777" w:rsidR="00EB13F7" w:rsidRPr="00EB13F7" w:rsidRDefault="00EB13F7" w:rsidP="00EB13F7">
      <w:pPr>
        <w:shd w:val="clear" w:color="auto" w:fill="FFFFFF"/>
        <w:spacing w:after="210" w:line="240" w:lineRule="auto"/>
        <w:outlineLvl w:val="4"/>
        <w:rPr>
          <w:rFonts w:ascii="Open Sans" w:eastAsia="Times New Roman" w:hAnsi="Open Sans" w:cs="Open Sans"/>
          <w:caps/>
          <w:color w:val="21578A"/>
          <w:sz w:val="27"/>
          <w:szCs w:val="27"/>
        </w:rPr>
      </w:pPr>
      <w:r w:rsidRPr="00EB13F7">
        <w:rPr>
          <w:rFonts w:ascii="Open Sans" w:eastAsia="Times New Roman" w:hAnsi="Open Sans" w:cs="Open Sans"/>
          <w:caps/>
          <w:color w:val="00263A"/>
          <w:sz w:val="27"/>
          <w:szCs w:val="27"/>
        </w:rPr>
        <w:t>CONTINUING APPROPRIATIONS ACT, 2023 IS ENACTED</w:t>
      </w:r>
    </w:p>
    <w:p w14:paraId="13DEB943"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health savings account (HSA) telehealth safe harbor that was set to expire on December 31, 2022, has been extended to provide that a high deductible health plan (HDHP) can temporarily cover telehealth and “other remote care services” pre-deductible, and an individual can have stand-alone coverage for telehealth and other remote care services pre-deductible without impacting their ability to contribute to an HSA. The </w:t>
      </w:r>
      <w:hyperlink r:id="rId11" w:tgtFrame="_blank" w:history="1">
        <w:r w:rsidRPr="00EB13F7">
          <w:rPr>
            <w:rFonts w:ascii="Open Sans" w:eastAsia="Times New Roman" w:hAnsi="Open Sans" w:cs="Open Sans"/>
            <w:color w:val="2881C4"/>
            <w:sz w:val="21"/>
            <w:szCs w:val="21"/>
            <w:u w:val="single"/>
          </w:rPr>
          <w:t>Consolidated Appropriations Act, 2023</w:t>
        </w:r>
      </w:hyperlink>
      <w:r w:rsidRPr="00EB13F7">
        <w:rPr>
          <w:rFonts w:ascii="Open Sans" w:eastAsia="Times New Roman" w:hAnsi="Open Sans" w:cs="Open Sans"/>
          <w:color w:val="777777"/>
          <w:sz w:val="21"/>
          <w:szCs w:val="21"/>
        </w:rPr>
        <w:t> (CAA 2023) extends the safe harbor for plan years beginning after December 31, 2022, and before January 1, 2025.</w:t>
      </w:r>
    </w:p>
    <w:p w14:paraId="62760BC4"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 </w:t>
      </w:r>
    </w:p>
    <w:p w14:paraId="65AE4288" w14:textId="77777777" w:rsidR="00EB13F7" w:rsidRPr="00EB13F7" w:rsidRDefault="00EB13F7" w:rsidP="00EB13F7">
      <w:pPr>
        <w:shd w:val="clear" w:color="auto" w:fill="FFFFFF"/>
        <w:spacing w:after="210" w:line="240" w:lineRule="auto"/>
        <w:outlineLvl w:val="4"/>
        <w:rPr>
          <w:rFonts w:ascii="Open Sans" w:eastAsia="Times New Roman" w:hAnsi="Open Sans" w:cs="Open Sans"/>
          <w:caps/>
          <w:color w:val="21578A"/>
          <w:sz w:val="27"/>
          <w:szCs w:val="27"/>
        </w:rPr>
      </w:pPr>
      <w:r w:rsidRPr="00EB13F7">
        <w:rPr>
          <w:rFonts w:ascii="Open Sans" w:eastAsia="Times New Roman" w:hAnsi="Open Sans" w:cs="Open Sans"/>
          <w:caps/>
          <w:color w:val="00263A"/>
          <w:sz w:val="27"/>
          <w:szCs w:val="27"/>
        </w:rPr>
        <w:t>2023 QUALIFYING PAYMENT AMOUNT FACTOR</w:t>
      </w:r>
    </w:p>
    <w:p w14:paraId="693B3D8F" w14:textId="77777777" w:rsidR="00EB13F7" w:rsidRPr="00EB13F7" w:rsidRDefault="00EB13F7" w:rsidP="00EB13F7">
      <w:pPr>
        <w:shd w:val="clear" w:color="auto" w:fill="FFFFFF"/>
        <w:spacing w:after="150" w:line="360" w:lineRule="atLeast"/>
        <w:rPr>
          <w:rFonts w:ascii="Open Sans" w:eastAsia="Times New Roman" w:hAnsi="Open Sans" w:cs="Open Sans"/>
          <w:color w:val="777777"/>
          <w:sz w:val="21"/>
          <w:szCs w:val="21"/>
        </w:rPr>
      </w:pPr>
      <w:r w:rsidRPr="00EB13F7">
        <w:rPr>
          <w:rFonts w:ascii="Open Sans" w:eastAsia="Times New Roman" w:hAnsi="Open Sans" w:cs="Open Sans"/>
          <w:color w:val="777777"/>
          <w:sz w:val="21"/>
          <w:szCs w:val="21"/>
        </w:rPr>
        <w:t>The IRS has issued </w:t>
      </w:r>
      <w:hyperlink r:id="rId12" w:tgtFrame="_blank" w:history="1">
        <w:r w:rsidRPr="00EB13F7">
          <w:rPr>
            <w:rFonts w:ascii="Open Sans" w:eastAsia="Times New Roman" w:hAnsi="Open Sans" w:cs="Open Sans"/>
            <w:color w:val="2881C4"/>
            <w:sz w:val="21"/>
            <w:szCs w:val="21"/>
            <w:u w:val="single"/>
          </w:rPr>
          <w:t>Notice 2023-4</w:t>
        </w:r>
      </w:hyperlink>
      <w:r w:rsidRPr="00EB13F7">
        <w:rPr>
          <w:rFonts w:ascii="Open Sans" w:eastAsia="Times New Roman" w:hAnsi="Open Sans" w:cs="Open Sans"/>
          <w:color w:val="777777"/>
          <w:sz w:val="21"/>
          <w:szCs w:val="21"/>
        </w:rPr>
        <w:t>, which provides the indexing factor to be used by group health plans and insurers to calculate the qualifying payment amount (QPA) under the No Surprises Act for items or services provided on or after January 1, 2023, and before </w:t>
      </w:r>
      <w:hyperlink r:id="rId13" w:tgtFrame="_blank" w:history="1">
        <w:r w:rsidRPr="00EB13F7">
          <w:rPr>
            <w:rFonts w:ascii="Open Sans" w:eastAsia="Times New Roman" w:hAnsi="Open Sans" w:cs="Open Sans"/>
            <w:color w:val="2881C4"/>
            <w:sz w:val="21"/>
            <w:szCs w:val="21"/>
            <w:u w:val="single"/>
          </w:rPr>
          <w:t>January</w:t>
        </w:r>
      </w:hyperlink>
      <w:r w:rsidRPr="00EB13F7">
        <w:rPr>
          <w:rFonts w:ascii="Open Sans" w:eastAsia="Times New Roman" w:hAnsi="Open Sans" w:cs="Open Sans"/>
          <w:color w:val="777777"/>
          <w:sz w:val="21"/>
          <w:szCs w:val="21"/>
        </w:rPr>
        <w:t> 1, 2024. The No Surprises Act was enacted as part of the Consolidated Appropriations Act, 2021, to shield individuals from surprise bills for certain out-of-network emergency and non-emergency services, including certain air ambulance services.</w:t>
      </w:r>
    </w:p>
    <w:p w14:paraId="005C8F67" w14:textId="77777777" w:rsidR="00EB13F7" w:rsidRPr="00EB13F7" w:rsidRDefault="00EB13F7">
      <w:pPr>
        <w:rPr>
          <w:rFonts w:cstheme="minorHAnsi"/>
        </w:rPr>
      </w:pPr>
    </w:p>
    <w:sectPr w:rsidR="00EB13F7" w:rsidRPr="00EB13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BD32" w14:textId="77777777" w:rsidR="00E62258" w:rsidRDefault="00E62258" w:rsidP="00EB13F7">
      <w:pPr>
        <w:spacing w:after="0" w:line="240" w:lineRule="auto"/>
      </w:pPr>
      <w:r>
        <w:separator/>
      </w:r>
    </w:p>
  </w:endnote>
  <w:endnote w:type="continuationSeparator" w:id="0">
    <w:p w14:paraId="3D8A3708" w14:textId="77777777" w:rsidR="00E62258" w:rsidRDefault="00E62258" w:rsidP="00EB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196E" w14:textId="77777777" w:rsidR="00E62258" w:rsidRDefault="00E62258" w:rsidP="00EB13F7">
      <w:pPr>
        <w:spacing w:after="0" w:line="240" w:lineRule="auto"/>
      </w:pPr>
      <w:r>
        <w:separator/>
      </w:r>
    </w:p>
  </w:footnote>
  <w:footnote w:type="continuationSeparator" w:id="0">
    <w:p w14:paraId="5A7659E9" w14:textId="77777777" w:rsidR="00E62258" w:rsidRDefault="00E62258" w:rsidP="00EB1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647"/>
    <w:multiLevelType w:val="multilevel"/>
    <w:tmpl w:val="139A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8065F"/>
    <w:multiLevelType w:val="multilevel"/>
    <w:tmpl w:val="295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761896">
    <w:abstractNumId w:val="1"/>
  </w:num>
  <w:num w:numId="2" w16cid:durableId="179420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F7"/>
    <w:rsid w:val="0038631E"/>
    <w:rsid w:val="00427646"/>
    <w:rsid w:val="00873726"/>
    <w:rsid w:val="00DD626B"/>
    <w:rsid w:val="00E62258"/>
    <w:rsid w:val="00EB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8661"/>
  <w15:chartTrackingRefBased/>
  <w15:docId w15:val="{0EE73613-37BD-4818-9480-4B00A7A4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F7"/>
  </w:style>
  <w:style w:type="paragraph" w:styleId="Footer">
    <w:name w:val="footer"/>
    <w:basedOn w:val="Normal"/>
    <w:link w:val="FooterChar"/>
    <w:uiPriority w:val="99"/>
    <w:unhideWhenUsed/>
    <w:rsid w:val="00EB1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3018">
      <w:bodyDiv w:val="1"/>
      <w:marLeft w:val="0"/>
      <w:marRight w:val="0"/>
      <w:marTop w:val="0"/>
      <w:marBottom w:val="0"/>
      <w:divBdr>
        <w:top w:val="none" w:sz="0" w:space="0" w:color="auto"/>
        <w:left w:val="none" w:sz="0" w:space="0" w:color="auto"/>
        <w:bottom w:val="none" w:sz="0" w:space="0" w:color="auto"/>
        <w:right w:val="none" w:sz="0" w:space="0" w:color="auto"/>
      </w:divBdr>
    </w:div>
    <w:div w:id="15617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ast.dol.gov/welcome.html?_ga=2.75432402.1588943231.1672687475-1951126698.1671657410" TargetMode="External"/><Relationship Id="rId13" Type="http://schemas.openxmlformats.org/officeDocument/2006/relationships/hyperlink" Target="chrome-extension://efaidnbmnnnibpcajpcglclefindmkaj/https:/www.irs.gov/pub/irs-drop/n-23-04.pdf" TargetMode="External"/><Relationship Id="rId3" Type="http://schemas.openxmlformats.org/officeDocument/2006/relationships/settings" Target="settings.xml"/><Relationship Id="rId7" Type="http://schemas.openxmlformats.org/officeDocument/2006/relationships/hyperlink" Target="https://www.dol.gov/agencies/ebsa/employers-and-advisers/plan-administration-and-compliance/reporting-and-filing/forms" TargetMode="External"/><Relationship Id="rId12" Type="http://schemas.openxmlformats.org/officeDocument/2006/relationships/hyperlink" Target="https://www.irs.gov/pub/irs-drop/n-23-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gress.gov/bill/117th-congress/house-bill/2617/tex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tap.cms.gov/uploads/library/RxDC-Section-204-Reporting-Instructions-06-30-2022.pdf" TargetMode="External"/><Relationship Id="rId4" Type="http://schemas.openxmlformats.org/officeDocument/2006/relationships/webSettings" Target="webSettings.xml"/><Relationship Id="rId9" Type="http://schemas.openxmlformats.org/officeDocument/2006/relationships/hyperlink" Target="https://www.federalregister.gov/documents/2021/11/23/2021-25183/prescription-drug-and-health-care-spe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2</cp:revision>
  <dcterms:created xsi:type="dcterms:W3CDTF">2023-05-11T17:22:00Z</dcterms:created>
  <dcterms:modified xsi:type="dcterms:W3CDTF">2023-05-11T17:26:00Z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044eec62-4232-4944-9654-6d859854974f</vt:lpwstr>
  </property>
</Properties>
</file>