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0E53" w14:textId="77777777" w:rsidR="00427646" w:rsidRDefault="00427646"/>
    <w:p w14:paraId="1F6D5B70" w14:textId="77777777" w:rsidR="0034249A" w:rsidRDefault="0034249A"/>
    <w:p w14:paraId="00BB3BC2"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xml:space="preserve">Each year, just as the leaves turn to the fiery shades of autumn, the Internal Revenue Service (IRS) announces how much </w:t>
      </w:r>
      <w:proofErr w:type="gramStart"/>
      <w:r w:rsidRPr="0034249A">
        <w:rPr>
          <w:rFonts w:ascii="Open Sans" w:eastAsia="Times New Roman" w:hAnsi="Open Sans" w:cs="Open Sans"/>
          <w:color w:val="777777"/>
          <w:sz w:val="21"/>
          <w:szCs w:val="21"/>
        </w:rPr>
        <w:t>more “green”</w:t>
      </w:r>
      <w:proofErr w:type="gramEnd"/>
      <w:r w:rsidRPr="0034249A">
        <w:rPr>
          <w:rFonts w:ascii="Open Sans" w:eastAsia="Times New Roman" w:hAnsi="Open Sans" w:cs="Open Sans"/>
          <w:color w:val="777777"/>
          <w:sz w:val="21"/>
          <w:szCs w:val="21"/>
        </w:rPr>
        <w:t xml:space="preserve"> will be available during the coming year under various employee benefit programs.</w:t>
      </w:r>
    </w:p>
    <w:p w14:paraId="29F0243F" w14:textId="77777777" w:rsidR="0034249A" w:rsidRPr="0034249A" w:rsidRDefault="0034249A" w:rsidP="0034249A">
      <w:pPr>
        <w:shd w:val="clear" w:color="auto" w:fill="FFFFFF"/>
        <w:spacing w:after="210" w:line="270" w:lineRule="atLeast"/>
        <w:outlineLvl w:val="4"/>
        <w:rPr>
          <w:rFonts w:ascii="Open Sans" w:eastAsia="Times New Roman" w:hAnsi="Open Sans" w:cs="Open Sans"/>
          <w:b/>
          <w:bCs/>
          <w:caps/>
          <w:color w:val="21578A"/>
          <w:sz w:val="21"/>
          <w:szCs w:val="21"/>
        </w:rPr>
      </w:pPr>
      <w:r w:rsidRPr="0034249A">
        <w:rPr>
          <w:rFonts w:ascii="Open Sans" w:eastAsia="Times New Roman" w:hAnsi="Open Sans" w:cs="Open Sans"/>
          <w:b/>
          <w:bCs/>
          <w:caps/>
          <w:color w:val="21578A"/>
          <w:sz w:val="21"/>
          <w:szCs w:val="21"/>
        </w:rPr>
        <w:br/>
      </w:r>
      <w:r w:rsidRPr="0034249A">
        <w:rPr>
          <w:rFonts w:ascii="Open Sans" w:eastAsia="Times New Roman" w:hAnsi="Open Sans" w:cs="Open Sans"/>
          <w:caps/>
          <w:color w:val="00263A"/>
          <w:sz w:val="27"/>
          <w:szCs w:val="27"/>
        </w:rPr>
        <w:t>IRS ANNOUNCES INCREASED LIMITS FOR CERTAIN EMPLOYEE BENEFITS, HIGHER FINES FOR ACA REPORTING FAILURES</w:t>
      </w:r>
    </w:p>
    <w:p w14:paraId="7CAB4326"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xml:space="preserve">The IRS recently released Revenue Procedure 2022-38 in which it has updated many key </w:t>
      </w:r>
      <w:proofErr w:type="gramStart"/>
      <w:r w:rsidRPr="0034249A">
        <w:rPr>
          <w:rFonts w:ascii="Open Sans" w:eastAsia="Times New Roman" w:hAnsi="Open Sans" w:cs="Open Sans"/>
          <w:color w:val="777777"/>
          <w:sz w:val="21"/>
          <w:szCs w:val="21"/>
        </w:rPr>
        <w:t>employee</w:t>
      </w:r>
      <w:proofErr w:type="gramEnd"/>
      <w:r w:rsidRPr="0034249A">
        <w:rPr>
          <w:rFonts w:ascii="Open Sans" w:eastAsia="Times New Roman" w:hAnsi="Open Sans" w:cs="Open Sans"/>
          <w:color w:val="777777"/>
          <w:sz w:val="21"/>
          <w:szCs w:val="21"/>
        </w:rPr>
        <w:t xml:space="preserve"> benefit limits based on annual inflation or cost-of-living adjustments. The good news is that recent higher inflation trends have led to the IRS providing for higher-than-typical increases in both the amount that individuals can contribute to a health flexible spending arrangement (HFSA), as well as the amount they can carry over in a plan including that feature.</w:t>
      </w:r>
    </w:p>
    <w:p w14:paraId="513C1256"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Effective for tax years beginning in 2023, the following higher limits will apply:</w:t>
      </w:r>
    </w:p>
    <w:tbl>
      <w:tblPr>
        <w:tblW w:w="9526" w:type="dxa"/>
        <w:tblCellMar>
          <w:top w:w="15" w:type="dxa"/>
          <w:left w:w="15" w:type="dxa"/>
          <w:bottom w:w="15" w:type="dxa"/>
          <w:right w:w="15" w:type="dxa"/>
        </w:tblCellMar>
        <w:tblLook w:val="04A0" w:firstRow="1" w:lastRow="0" w:firstColumn="1" w:lastColumn="0" w:noHBand="0" w:noVBand="1"/>
      </w:tblPr>
      <w:tblGrid>
        <w:gridCol w:w="5993"/>
        <w:gridCol w:w="3533"/>
      </w:tblGrid>
      <w:tr w:rsidR="0034249A" w:rsidRPr="0034249A" w14:paraId="69C92ED4" w14:textId="77777777" w:rsidTr="0034249A">
        <w:trPr>
          <w:trHeight w:val="555"/>
        </w:trPr>
        <w:tc>
          <w:tcPr>
            <w:tcW w:w="5993" w:type="dxa"/>
            <w:tcBorders>
              <w:bottom w:val="single" w:sz="6" w:space="0" w:color="99ACC2"/>
            </w:tcBorders>
            <w:tcMar>
              <w:top w:w="60" w:type="dxa"/>
              <w:left w:w="60" w:type="dxa"/>
              <w:bottom w:w="60" w:type="dxa"/>
              <w:right w:w="60" w:type="dxa"/>
            </w:tcMar>
            <w:vAlign w:val="center"/>
            <w:hideMark/>
          </w:tcPr>
          <w:p w14:paraId="08984357" w14:textId="77777777" w:rsidR="0034249A" w:rsidRPr="0034249A" w:rsidRDefault="0034249A" w:rsidP="0034249A">
            <w:pPr>
              <w:spacing w:after="0" w:line="240" w:lineRule="auto"/>
              <w:rPr>
                <w:rFonts w:ascii="Times New Roman" w:eastAsia="Times New Roman" w:hAnsi="Times New Roman" w:cs="Times New Roman"/>
                <w:sz w:val="24"/>
                <w:szCs w:val="24"/>
              </w:rPr>
            </w:pPr>
            <w:r w:rsidRPr="0034249A">
              <w:rPr>
                <w:rFonts w:ascii="Times New Roman" w:eastAsia="Times New Roman" w:hAnsi="Times New Roman" w:cs="Times New Roman"/>
                <w:sz w:val="24"/>
                <w:szCs w:val="24"/>
              </w:rPr>
              <w:t>Section 125 HFSA individual deferral contribution</w:t>
            </w:r>
          </w:p>
        </w:tc>
        <w:tc>
          <w:tcPr>
            <w:tcW w:w="3533" w:type="dxa"/>
            <w:tcBorders>
              <w:bottom w:val="single" w:sz="6" w:space="0" w:color="99ACC2"/>
            </w:tcBorders>
            <w:tcMar>
              <w:top w:w="60" w:type="dxa"/>
              <w:left w:w="60" w:type="dxa"/>
              <w:bottom w:w="60" w:type="dxa"/>
              <w:right w:w="60" w:type="dxa"/>
            </w:tcMar>
            <w:vAlign w:val="center"/>
            <w:hideMark/>
          </w:tcPr>
          <w:p w14:paraId="545C08C4" w14:textId="77777777" w:rsidR="0034249A" w:rsidRPr="0034249A" w:rsidRDefault="0034249A" w:rsidP="0034249A">
            <w:pPr>
              <w:spacing w:after="0" w:line="240" w:lineRule="auto"/>
              <w:rPr>
                <w:rFonts w:ascii="Times New Roman" w:eastAsia="Times New Roman" w:hAnsi="Times New Roman" w:cs="Times New Roman"/>
                <w:sz w:val="24"/>
                <w:szCs w:val="24"/>
              </w:rPr>
            </w:pPr>
            <w:r w:rsidRPr="0034249A">
              <w:rPr>
                <w:rFonts w:ascii="Times New Roman" w:eastAsia="Times New Roman" w:hAnsi="Times New Roman" w:cs="Times New Roman"/>
                <w:sz w:val="24"/>
                <w:szCs w:val="24"/>
              </w:rPr>
              <w:t> $3,050/year</w:t>
            </w:r>
          </w:p>
        </w:tc>
      </w:tr>
      <w:tr w:rsidR="0034249A" w:rsidRPr="0034249A" w14:paraId="27D61E20" w14:textId="77777777" w:rsidTr="0034249A">
        <w:trPr>
          <w:trHeight w:val="600"/>
        </w:trPr>
        <w:tc>
          <w:tcPr>
            <w:tcW w:w="5993" w:type="dxa"/>
            <w:tcBorders>
              <w:bottom w:val="single" w:sz="6" w:space="0" w:color="99ACC2"/>
            </w:tcBorders>
            <w:tcMar>
              <w:top w:w="60" w:type="dxa"/>
              <w:left w:w="60" w:type="dxa"/>
              <w:bottom w:w="60" w:type="dxa"/>
              <w:right w:w="60" w:type="dxa"/>
            </w:tcMar>
            <w:vAlign w:val="center"/>
            <w:hideMark/>
          </w:tcPr>
          <w:p w14:paraId="66165CDF" w14:textId="77777777" w:rsidR="0034249A" w:rsidRPr="0034249A" w:rsidRDefault="0034249A" w:rsidP="0034249A">
            <w:pPr>
              <w:spacing w:after="0" w:line="240" w:lineRule="auto"/>
              <w:rPr>
                <w:rFonts w:ascii="Times New Roman" w:eastAsia="Times New Roman" w:hAnsi="Times New Roman" w:cs="Times New Roman"/>
                <w:sz w:val="24"/>
                <w:szCs w:val="24"/>
              </w:rPr>
            </w:pPr>
            <w:r w:rsidRPr="0034249A">
              <w:rPr>
                <w:rFonts w:ascii="Times New Roman" w:eastAsia="Times New Roman" w:hAnsi="Times New Roman" w:cs="Times New Roman"/>
                <w:sz w:val="24"/>
                <w:szCs w:val="24"/>
              </w:rPr>
              <w:t>Section 125 HFSA maximum permitted carryover amount</w:t>
            </w:r>
          </w:p>
        </w:tc>
        <w:tc>
          <w:tcPr>
            <w:tcW w:w="3533" w:type="dxa"/>
            <w:tcBorders>
              <w:bottom w:val="single" w:sz="6" w:space="0" w:color="99ACC2"/>
            </w:tcBorders>
            <w:tcMar>
              <w:top w:w="60" w:type="dxa"/>
              <w:left w:w="60" w:type="dxa"/>
              <w:bottom w:w="60" w:type="dxa"/>
              <w:right w:w="60" w:type="dxa"/>
            </w:tcMar>
            <w:vAlign w:val="center"/>
            <w:hideMark/>
          </w:tcPr>
          <w:p w14:paraId="02F5B966" w14:textId="77777777" w:rsidR="0034249A" w:rsidRPr="0034249A" w:rsidRDefault="0034249A" w:rsidP="0034249A">
            <w:pPr>
              <w:spacing w:after="0" w:line="240" w:lineRule="auto"/>
              <w:rPr>
                <w:rFonts w:ascii="Times New Roman" w:eastAsia="Times New Roman" w:hAnsi="Times New Roman" w:cs="Times New Roman"/>
                <w:sz w:val="24"/>
                <w:szCs w:val="24"/>
              </w:rPr>
            </w:pPr>
            <w:r w:rsidRPr="0034249A">
              <w:rPr>
                <w:rFonts w:ascii="Times New Roman" w:eastAsia="Times New Roman" w:hAnsi="Times New Roman" w:cs="Times New Roman"/>
                <w:sz w:val="24"/>
                <w:szCs w:val="24"/>
              </w:rPr>
              <w:t>$610</w:t>
            </w:r>
          </w:p>
        </w:tc>
      </w:tr>
      <w:tr w:rsidR="0034249A" w:rsidRPr="0034249A" w14:paraId="5463C709" w14:textId="77777777" w:rsidTr="0034249A">
        <w:trPr>
          <w:trHeight w:val="600"/>
        </w:trPr>
        <w:tc>
          <w:tcPr>
            <w:tcW w:w="5993" w:type="dxa"/>
            <w:tcBorders>
              <w:bottom w:val="single" w:sz="6" w:space="0" w:color="99ACC2"/>
            </w:tcBorders>
            <w:tcMar>
              <w:top w:w="60" w:type="dxa"/>
              <w:left w:w="60" w:type="dxa"/>
              <w:bottom w:w="60" w:type="dxa"/>
              <w:right w:w="60" w:type="dxa"/>
            </w:tcMar>
            <w:vAlign w:val="center"/>
            <w:hideMark/>
          </w:tcPr>
          <w:p w14:paraId="5C4E8193" w14:textId="77777777" w:rsidR="0034249A" w:rsidRPr="0034249A" w:rsidRDefault="0034249A" w:rsidP="0034249A">
            <w:pPr>
              <w:spacing w:after="0" w:line="240" w:lineRule="auto"/>
              <w:rPr>
                <w:rFonts w:ascii="Times New Roman" w:eastAsia="Times New Roman" w:hAnsi="Times New Roman" w:cs="Times New Roman"/>
                <w:sz w:val="24"/>
                <w:szCs w:val="24"/>
              </w:rPr>
            </w:pPr>
            <w:r w:rsidRPr="0034249A">
              <w:rPr>
                <w:rFonts w:ascii="Times New Roman" w:eastAsia="Times New Roman" w:hAnsi="Times New Roman" w:cs="Times New Roman"/>
                <w:sz w:val="24"/>
                <w:szCs w:val="24"/>
              </w:rPr>
              <w:t>Section 132 qualified transportation fringe benefits</w:t>
            </w:r>
          </w:p>
        </w:tc>
        <w:tc>
          <w:tcPr>
            <w:tcW w:w="3533" w:type="dxa"/>
            <w:tcBorders>
              <w:bottom w:val="single" w:sz="6" w:space="0" w:color="99ACC2"/>
            </w:tcBorders>
            <w:tcMar>
              <w:top w:w="60" w:type="dxa"/>
              <w:left w:w="60" w:type="dxa"/>
              <w:bottom w:w="60" w:type="dxa"/>
              <w:right w:w="60" w:type="dxa"/>
            </w:tcMar>
            <w:vAlign w:val="center"/>
            <w:hideMark/>
          </w:tcPr>
          <w:p w14:paraId="4ACDCDFA" w14:textId="77777777" w:rsidR="0034249A" w:rsidRPr="0034249A" w:rsidRDefault="0034249A" w:rsidP="0034249A">
            <w:pPr>
              <w:spacing w:after="0" w:line="240" w:lineRule="auto"/>
              <w:rPr>
                <w:rFonts w:ascii="Times New Roman" w:eastAsia="Times New Roman" w:hAnsi="Times New Roman" w:cs="Times New Roman"/>
                <w:sz w:val="24"/>
                <w:szCs w:val="24"/>
              </w:rPr>
            </w:pPr>
            <w:r w:rsidRPr="0034249A">
              <w:rPr>
                <w:rFonts w:ascii="Times New Roman" w:eastAsia="Times New Roman" w:hAnsi="Times New Roman" w:cs="Times New Roman"/>
                <w:sz w:val="24"/>
                <w:szCs w:val="24"/>
              </w:rPr>
              <w:t>$300/month</w:t>
            </w:r>
          </w:p>
        </w:tc>
      </w:tr>
      <w:tr w:rsidR="0034249A" w:rsidRPr="0034249A" w14:paraId="20883CCE" w14:textId="77777777" w:rsidTr="0034249A">
        <w:trPr>
          <w:trHeight w:val="1215"/>
        </w:trPr>
        <w:tc>
          <w:tcPr>
            <w:tcW w:w="5993" w:type="dxa"/>
            <w:tcBorders>
              <w:bottom w:val="single" w:sz="6" w:space="0" w:color="99ACC2"/>
            </w:tcBorders>
            <w:tcMar>
              <w:top w:w="60" w:type="dxa"/>
              <w:left w:w="60" w:type="dxa"/>
              <w:bottom w:w="60" w:type="dxa"/>
              <w:right w:w="60" w:type="dxa"/>
            </w:tcMar>
            <w:vAlign w:val="center"/>
            <w:hideMark/>
          </w:tcPr>
          <w:p w14:paraId="12D78E99" w14:textId="77777777" w:rsidR="0034249A" w:rsidRPr="0034249A" w:rsidRDefault="0034249A" w:rsidP="0034249A">
            <w:pPr>
              <w:spacing w:after="0" w:line="240" w:lineRule="auto"/>
              <w:rPr>
                <w:rFonts w:ascii="Times New Roman" w:eastAsia="Times New Roman" w:hAnsi="Times New Roman" w:cs="Times New Roman"/>
                <w:sz w:val="24"/>
                <w:szCs w:val="24"/>
              </w:rPr>
            </w:pPr>
            <w:r w:rsidRPr="0034249A">
              <w:rPr>
                <w:rFonts w:ascii="Times New Roman" w:eastAsia="Times New Roman" w:hAnsi="Times New Roman" w:cs="Times New Roman"/>
                <w:sz w:val="24"/>
                <w:szCs w:val="24"/>
              </w:rPr>
              <w:t>Section 137 adoption assistance program expenses</w:t>
            </w:r>
          </w:p>
        </w:tc>
        <w:tc>
          <w:tcPr>
            <w:tcW w:w="3533" w:type="dxa"/>
            <w:tcBorders>
              <w:bottom w:val="single" w:sz="6" w:space="0" w:color="99ACC2"/>
            </w:tcBorders>
            <w:tcMar>
              <w:top w:w="60" w:type="dxa"/>
              <w:left w:w="60" w:type="dxa"/>
              <w:bottom w:w="60" w:type="dxa"/>
              <w:right w:w="60" w:type="dxa"/>
            </w:tcMar>
            <w:vAlign w:val="center"/>
            <w:hideMark/>
          </w:tcPr>
          <w:p w14:paraId="72862D64" w14:textId="77777777" w:rsidR="0034249A" w:rsidRPr="0034249A" w:rsidRDefault="0034249A" w:rsidP="0034249A">
            <w:pPr>
              <w:spacing w:after="0" w:line="240" w:lineRule="auto"/>
              <w:rPr>
                <w:rFonts w:ascii="Times New Roman" w:eastAsia="Times New Roman" w:hAnsi="Times New Roman" w:cs="Times New Roman"/>
                <w:sz w:val="24"/>
                <w:szCs w:val="24"/>
              </w:rPr>
            </w:pPr>
            <w:r w:rsidRPr="0034249A">
              <w:rPr>
                <w:rFonts w:ascii="Times New Roman" w:eastAsia="Times New Roman" w:hAnsi="Times New Roman" w:cs="Times New Roman"/>
                <w:sz w:val="24"/>
                <w:szCs w:val="24"/>
              </w:rPr>
              <w:t>$15,950/year (subject to phase out for individuals with adjusted gross income starting at $239,230)</w:t>
            </w:r>
          </w:p>
        </w:tc>
      </w:tr>
      <w:tr w:rsidR="0034249A" w:rsidRPr="0034249A" w14:paraId="08A82E3D" w14:textId="77777777" w:rsidTr="0034249A">
        <w:trPr>
          <w:trHeight w:val="930"/>
        </w:trPr>
        <w:tc>
          <w:tcPr>
            <w:tcW w:w="5993" w:type="dxa"/>
            <w:tcBorders>
              <w:bottom w:val="single" w:sz="6" w:space="0" w:color="99ACC2"/>
            </w:tcBorders>
            <w:tcMar>
              <w:top w:w="60" w:type="dxa"/>
              <w:left w:w="60" w:type="dxa"/>
              <w:bottom w:w="60" w:type="dxa"/>
              <w:right w:w="60" w:type="dxa"/>
            </w:tcMar>
            <w:vAlign w:val="center"/>
            <w:hideMark/>
          </w:tcPr>
          <w:p w14:paraId="25917ED5" w14:textId="77777777" w:rsidR="0034249A" w:rsidRPr="0034249A" w:rsidRDefault="0034249A" w:rsidP="0034249A">
            <w:pPr>
              <w:spacing w:after="0" w:line="240" w:lineRule="auto"/>
              <w:rPr>
                <w:rFonts w:ascii="Times New Roman" w:eastAsia="Times New Roman" w:hAnsi="Times New Roman" w:cs="Times New Roman"/>
                <w:sz w:val="24"/>
                <w:szCs w:val="24"/>
              </w:rPr>
            </w:pPr>
            <w:r w:rsidRPr="0034249A">
              <w:rPr>
                <w:rFonts w:ascii="Times New Roman" w:eastAsia="Times New Roman" w:hAnsi="Times New Roman" w:cs="Times New Roman"/>
                <w:sz w:val="24"/>
                <w:szCs w:val="24"/>
              </w:rPr>
              <w:t>Section 9831 qualified small employer health reimbursement arrangement (QSEHRA)</w:t>
            </w:r>
          </w:p>
        </w:tc>
        <w:tc>
          <w:tcPr>
            <w:tcW w:w="3533" w:type="dxa"/>
            <w:tcBorders>
              <w:bottom w:val="single" w:sz="6" w:space="0" w:color="99ACC2"/>
            </w:tcBorders>
            <w:tcMar>
              <w:top w:w="60" w:type="dxa"/>
              <w:left w:w="60" w:type="dxa"/>
              <w:bottom w:w="60" w:type="dxa"/>
              <w:right w:w="60" w:type="dxa"/>
            </w:tcMar>
            <w:vAlign w:val="center"/>
            <w:hideMark/>
          </w:tcPr>
          <w:p w14:paraId="59BB7C9B" w14:textId="77777777" w:rsidR="0034249A" w:rsidRPr="0034249A" w:rsidRDefault="0034249A" w:rsidP="0034249A">
            <w:pPr>
              <w:spacing w:after="0" w:line="240" w:lineRule="auto"/>
              <w:rPr>
                <w:rFonts w:ascii="Times New Roman" w:eastAsia="Times New Roman" w:hAnsi="Times New Roman" w:cs="Times New Roman"/>
                <w:sz w:val="24"/>
                <w:szCs w:val="24"/>
              </w:rPr>
            </w:pPr>
            <w:r w:rsidRPr="0034249A">
              <w:rPr>
                <w:rFonts w:ascii="Times New Roman" w:eastAsia="Times New Roman" w:hAnsi="Times New Roman" w:cs="Times New Roman"/>
                <w:sz w:val="24"/>
                <w:szCs w:val="24"/>
              </w:rPr>
              <w:t>$5,850/year</w:t>
            </w:r>
            <w:r w:rsidRPr="0034249A">
              <w:rPr>
                <w:rFonts w:ascii="Times New Roman" w:eastAsia="Times New Roman" w:hAnsi="Times New Roman" w:cs="Times New Roman"/>
                <w:sz w:val="24"/>
                <w:szCs w:val="24"/>
              </w:rPr>
              <w:br/>
              <w:t>($11,800/year for family coverage)</w:t>
            </w:r>
          </w:p>
        </w:tc>
      </w:tr>
    </w:tbl>
    <w:p w14:paraId="37028B2A"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w:t>
      </w:r>
      <w:r w:rsidRPr="0034249A">
        <w:rPr>
          <w:rFonts w:ascii="Open Sans" w:eastAsia="Times New Roman" w:hAnsi="Open Sans" w:cs="Open Sans"/>
          <w:color w:val="777777"/>
          <w:sz w:val="21"/>
          <w:szCs w:val="21"/>
        </w:rPr>
        <w:br/>
        <w:t>Employers should keep the adjusted limits handy as they prepare for 2023 and communicate with their employees regarding various benefit options.</w:t>
      </w:r>
    </w:p>
    <w:p w14:paraId="77A19C27"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xml:space="preserve">Additionally, the IRS has announced that employers that fail to file ACA Forms 1095 in 2024 (reporting for 2023) can be subject to a $310 penalty per form. The updated penalty for failure to provide individual statements to employees also will increase to $310 per statement. Since </w:t>
      </w:r>
      <w:r w:rsidRPr="0034249A">
        <w:rPr>
          <w:rFonts w:ascii="Open Sans" w:eastAsia="Times New Roman" w:hAnsi="Open Sans" w:cs="Open Sans"/>
          <w:color w:val="777777"/>
          <w:sz w:val="21"/>
          <w:szCs w:val="21"/>
        </w:rPr>
        <w:lastRenderedPageBreak/>
        <w:t>the penalties are cumulative, an employer that fails to provide an employee statement and fails to file with the IRS can be penalized up to $620 for each required form.</w:t>
      </w:r>
    </w:p>
    <w:p w14:paraId="0DF07277"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As we have noted previously, the IRS continues to be less lenient with late ACA report filers. As fines continue to increase, employers with filing obligations should take great care to ensure that their reporting processes ensure timely filing and timely distribution of individual statements.</w:t>
      </w:r>
    </w:p>
    <w:p w14:paraId="5C640117"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7"/>
          <w:szCs w:val="27"/>
        </w:rPr>
      </w:pPr>
      <w:r w:rsidRPr="0034249A">
        <w:rPr>
          <w:rFonts w:ascii="Open Sans" w:eastAsia="Times New Roman" w:hAnsi="Open Sans" w:cs="Open Sans"/>
          <w:color w:val="777777"/>
          <w:sz w:val="27"/>
          <w:szCs w:val="27"/>
        </w:rPr>
        <w:t> </w:t>
      </w:r>
    </w:p>
    <w:p w14:paraId="038AC299" w14:textId="77777777" w:rsidR="0034249A" w:rsidRPr="0034249A" w:rsidRDefault="0034249A" w:rsidP="0034249A">
      <w:pPr>
        <w:shd w:val="clear" w:color="auto" w:fill="FFFFFF"/>
        <w:spacing w:after="210" w:line="270" w:lineRule="atLeast"/>
        <w:outlineLvl w:val="4"/>
        <w:rPr>
          <w:rFonts w:ascii="Open Sans" w:eastAsia="Times New Roman" w:hAnsi="Open Sans" w:cs="Open Sans"/>
          <w:caps/>
          <w:color w:val="21578A"/>
          <w:sz w:val="27"/>
          <w:szCs w:val="27"/>
        </w:rPr>
      </w:pPr>
      <w:r w:rsidRPr="0034249A">
        <w:rPr>
          <w:rFonts w:ascii="Open Sans" w:eastAsia="Times New Roman" w:hAnsi="Open Sans" w:cs="Open Sans"/>
          <w:caps/>
          <w:color w:val="00263A"/>
          <w:sz w:val="27"/>
          <w:szCs w:val="27"/>
        </w:rPr>
        <w:t>ACA REPORTING FORMS AND DRAFT INSTRUCTIONS AVAILABLE WITH LIMITED CHANGES FOR 2022</w:t>
      </w:r>
    </w:p>
    <w:p w14:paraId="7D5828FE"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The Affordable Care Act (ACA) information reporting forms and draft instructions for 2022 are now available.</w:t>
      </w:r>
    </w:p>
    <w:p w14:paraId="3A298811"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Forms </w:t>
      </w:r>
      <w:hyperlink r:id="rId7" w:tgtFrame="_blank" w:history="1">
        <w:r w:rsidRPr="0034249A">
          <w:rPr>
            <w:rFonts w:ascii="Open Sans" w:eastAsia="Times New Roman" w:hAnsi="Open Sans" w:cs="Open Sans"/>
            <w:color w:val="2881C4"/>
            <w:sz w:val="21"/>
            <w:szCs w:val="21"/>
            <w:u w:val="single"/>
          </w:rPr>
          <w:t>1094-B</w:t>
        </w:r>
      </w:hyperlink>
      <w:r w:rsidRPr="0034249A">
        <w:rPr>
          <w:rFonts w:ascii="Open Sans" w:eastAsia="Times New Roman" w:hAnsi="Open Sans" w:cs="Open Sans"/>
          <w:color w:val="777777"/>
          <w:sz w:val="21"/>
          <w:szCs w:val="21"/>
        </w:rPr>
        <w:t> and </w:t>
      </w:r>
      <w:hyperlink r:id="rId8" w:tgtFrame="_blank" w:history="1">
        <w:r w:rsidRPr="0034249A">
          <w:rPr>
            <w:rFonts w:ascii="Open Sans" w:eastAsia="Times New Roman" w:hAnsi="Open Sans" w:cs="Open Sans"/>
            <w:color w:val="2881C4"/>
            <w:sz w:val="21"/>
            <w:szCs w:val="21"/>
            <w:u w:val="single"/>
          </w:rPr>
          <w:t>1095-B</w:t>
        </w:r>
      </w:hyperlink>
      <w:r w:rsidRPr="0034249A">
        <w:rPr>
          <w:rFonts w:ascii="Open Sans" w:eastAsia="Times New Roman" w:hAnsi="Open Sans" w:cs="Open Sans"/>
          <w:color w:val="777777"/>
          <w:sz w:val="21"/>
          <w:szCs w:val="21"/>
        </w:rPr>
        <w:t> are filed by minimum essential coverage providers (insurers, government-sponsored programs, and some self-insuring employers and others).</w:t>
      </w:r>
    </w:p>
    <w:p w14:paraId="6655CE50"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Forms </w:t>
      </w:r>
      <w:hyperlink r:id="rId9" w:tgtFrame="_blank" w:history="1">
        <w:r w:rsidRPr="0034249A">
          <w:rPr>
            <w:rFonts w:ascii="Open Sans" w:eastAsia="Times New Roman" w:hAnsi="Open Sans" w:cs="Open Sans"/>
            <w:color w:val="2881C4"/>
            <w:sz w:val="21"/>
            <w:szCs w:val="21"/>
            <w:u w:val="single"/>
          </w:rPr>
          <w:t>1094-C</w:t>
        </w:r>
      </w:hyperlink>
      <w:r w:rsidRPr="0034249A">
        <w:rPr>
          <w:rFonts w:ascii="Open Sans" w:eastAsia="Times New Roman" w:hAnsi="Open Sans" w:cs="Open Sans"/>
          <w:color w:val="777777"/>
          <w:sz w:val="21"/>
          <w:szCs w:val="21"/>
        </w:rPr>
        <w:t> and </w:t>
      </w:r>
      <w:hyperlink r:id="rId10" w:tgtFrame="_blank" w:history="1">
        <w:r w:rsidRPr="0034249A">
          <w:rPr>
            <w:rFonts w:ascii="Open Sans" w:eastAsia="Times New Roman" w:hAnsi="Open Sans" w:cs="Open Sans"/>
            <w:color w:val="2881C4"/>
            <w:sz w:val="21"/>
            <w:szCs w:val="21"/>
            <w:u w:val="single"/>
          </w:rPr>
          <w:t>1095-C</w:t>
        </w:r>
      </w:hyperlink>
      <w:r w:rsidRPr="0034249A">
        <w:rPr>
          <w:rFonts w:ascii="Open Sans" w:eastAsia="Times New Roman" w:hAnsi="Open Sans" w:cs="Open Sans"/>
          <w:color w:val="777777"/>
          <w:sz w:val="21"/>
          <w:szCs w:val="21"/>
        </w:rPr>
        <w:t> are filed by applicable large employers (ALEs) to provide information that the IRS needs to administer employer shared responsibility penalties and eligibility for premium tax credits.</w:t>
      </w:r>
    </w:p>
    <w:p w14:paraId="04D8C09D"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xml:space="preserve">While there are essentially no changes to the forms, the deadline for furnishing a given year’s Forms 1095-B and 1095-C to individuals has been permanently </w:t>
      </w:r>
      <w:proofErr w:type="gramStart"/>
      <w:r w:rsidRPr="0034249A">
        <w:rPr>
          <w:rFonts w:ascii="Open Sans" w:eastAsia="Times New Roman" w:hAnsi="Open Sans" w:cs="Open Sans"/>
          <w:color w:val="777777"/>
          <w:sz w:val="21"/>
          <w:szCs w:val="21"/>
        </w:rPr>
        <w:t>extend</w:t>
      </w:r>
      <w:proofErr w:type="gramEnd"/>
      <w:r w:rsidRPr="0034249A">
        <w:rPr>
          <w:rFonts w:ascii="Open Sans" w:eastAsia="Times New Roman" w:hAnsi="Open Sans" w:cs="Open Sans"/>
          <w:color w:val="777777"/>
          <w:sz w:val="21"/>
          <w:szCs w:val="21"/>
        </w:rPr>
        <w:t xml:space="preserve"> until 30 days after January 31 of the immediately following year. The proposed extension generally aligns with extensions that have been granted for each year since the reporting requirements took effect. Forms 1094-B and 1094-C (transmittals with statements) would be required to be filed with the IRS by February 28, 2023, or March 31, 2023, if filing electronically.</w:t>
      </w:r>
    </w:p>
    <w:p w14:paraId="0A61E995"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w:t>
      </w:r>
    </w:p>
    <w:p w14:paraId="694AA27D" w14:textId="77777777" w:rsidR="0034249A" w:rsidRPr="0034249A" w:rsidRDefault="0034249A" w:rsidP="0034249A">
      <w:pPr>
        <w:shd w:val="clear" w:color="auto" w:fill="FFFFFF"/>
        <w:spacing w:after="210" w:line="240" w:lineRule="auto"/>
        <w:outlineLvl w:val="4"/>
        <w:rPr>
          <w:rFonts w:ascii="Open Sans" w:eastAsia="Times New Roman" w:hAnsi="Open Sans" w:cs="Open Sans"/>
          <w:caps/>
          <w:color w:val="21578A"/>
          <w:sz w:val="27"/>
          <w:szCs w:val="27"/>
        </w:rPr>
      </w:pPr>
      <w:r w:rsidRPr="0034249A">
        <w:rPr>
          <w:rFonts w:ascii="Open Sans" w:eastAsia="Times New Roman" w:hAnsi="Open Sans" w:cs="Open Sans"/>
          <w:caps/>
          <w:color w:val="00263A"/>
          <w:sz w:val="27"/>
          <w:szCs w:val="27"/>
        </w:rPr>
        <w:t>FINAL RULE RESOLVES "FAMILY GLITCH" FOR ACA MARKETPLACE COVERAGE</w:t>
      </w:r>
    </w:p>
    <w:p w14:paraId="6F487970"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xml:space="preserve">The Department of the Treasury recently issued final regulations to make the premium tax credit (PTC) for Marketplace health coverage available to more individuals starting in 2023. The new rule changes the IRS’s interpretation of group health coverage affordability for determining PTC eligibility for family members. Whereas the IRS previously only considered the affordability of employer-offered individual health coverage, the new rule looks at the affordability of family coverage to decide whether spouses and dependents can elect Marketplace coverage and </w:t>
      </w:r>
      <w:r w:rsidRPr="0034249A">
        <w:rPr>
          <w:rFonts w:ascii="Open Sans" w:eastAsia="Times New Roman" w:hAnsi="Open Sans" w:cs="Open Sans"/>
          <w:color w:val="777777"/>
          <w:sz w:val="21"/>
          <w:szCs w:val="21"/>
        </w:rPr>
        <w:lastRenderedPageBreak/>
        <w:t>receive a PTC. The Biden Administration estimates that the change will result in more than one million individuals qualifying for a PTC for the first time.</w:t>
      </w:r>
    </w:p>
    <w:p w14:paraId="4A67AA55"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Employers should understand, however, that the new rule will not change the affordability and minimum value rules under the Affordable Care Act (ACA) for determining whether an applicable large employer (ALE) must pay an Employer Shared Responsibility Penalty (ESRP). Similarly, the new rule does not alter the information an ALE must report to the IRS annually under the ACA.</w:t>
      </w:r>
    </w:p>
    <w:p w14:paraId="05FE6768"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i/>
          <w:iCs/>
          <w:color w:val="777777"/>
          <w:sz w:val="21"/>
          <w:szCs w:val="21"/>
        </w:rPr>
        <w:t>Background</w:t>
      </w:r>
    </w:p>
    <w:p w14:paraId="0BD1C32C"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The ACA states that individuals who enroll in Marketplace coverage can get a PTC for any month of coverage when they are ineligible for minimum essential coverage (MEC), including employer group coverage. An individual is considered ineligible if MEC is unaffordable or does not provide minimum value.</w:t>
      </w:r>
    </w:p>
    <w:p w14:paraId="09391FEB"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Currently, employer coverage is unaffordable if the share of the annual premium the employee must pay for self-only coverage is more than 9.61% of household income. That also means coverage is unaffordable for related family members if the employee’s cost for self-only coverage is unaffordable – the employee’s cost for family coverage does not matter.</w:t>
      </w:r>
    </w:p>
    <w:p w14:paraId="6F8A1EEF"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xml:space="preserve">Additionally, employer coverage does not provide minimum value if the plan's share of the total allowed cost of benefits provided under individual coverage is less than 60%. As with affordability, the IRS </w:t>
      </w:r>
      <w:proofErr w:type="gramStart"/>
      <w:r w:rsidRPr="0034249A">
        <w:rPr>
          <w:rFonts w:ascii="Open Sans" w:eastAsia="Times New Roman" w:hAnsi="Open Sans" w:cs="Open Sans"/>
          <w:color w:val="777777"/>
          <w:sz w:val="21"/>
          <w:szCs w:val="21"/>
        </w:rPr>
        <w:t>judges</w:t>
      </w:r>
      <w:proofErr w:type="gramEnd"/>
      <w:r w:rsidRPr="0034249A">
        <w:rPr>
          <w:rFonts w:ascii="Open Sans" w:eastAsia="Times New Roman" w:hAnsi="Open Sans" w:cs="Open Sans"/>
          <w:color w:val="777777"/>
          <w:sz w:val="21"/>
          <w:szCs w:val="21"/>
        </w:rPr>
        <w:t xml:space="preserve"> minimum value without considering whether employer coverage provides minimum value to an individual’s spouse or dependents. So, a family member could not receive a PTC even if the family coverage they could get through an employer-sponsored plan fails to provide minimum value to them.</w:t>
      </w:r>
    </w:p>
    <w:p w14:paraId="20D1A93E"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i/>
          <w:iCs/>
          <w:color w:val="777777"/>
          <w:sz w:val="21"/>
          <w:szCs w:val="21"/>
        </w:rPr>
        <w:t>Summary of the New Rule</w:t>
      </w:r>
    </w:p>
    <w:p w14:paraId="26567116"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Following a January 2021 Executive Order to review existing regulations, policies, and practices to see if they limit access to financial aid for ACA Marketplace coverage, the Treasury Department and the IRS concluded that their current interpretation of ACA affordability and minimum value requirements disadvantaged thousands of families. Thus, they now state that a more appropriate interpretation of the ACA requires separate affordability and minimum value analysis for employees and family members to resolve the so-called family glitch created by the current interpretation.</w:t>
      </w:r>
    </w:p>
    <w:p w14:paraId="5D3D305B"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xml:space="preserve">The new rule interprets the ACA to base affordability of employer coverage for an employee’s spouse or tax dependents on the cost of covering the employee and their family members. So, </w:t>
      </w:r>
      <w:r w:rsidRPr="0034249A">
        <w:rPr>
          <w:rFonts w:ascii="Open Sans" w:eastAsia="Times New Roman" w:hAnsi="Open Sans" w:cs="Open Sans"/>
          <w:color w:val="777777"/>
          <w:sz w:val="21"/>
          <w:szCs w:val="21"/>
        </w:rPr>
        <w:lastRenderedPageBreak/>
        <w:t>for 2023, an eligible employer-sponsored plan will be deemed affordable for related individuals only if an employee’s required contribution for family coverage does not exceed the then-current indexed percentage of an employee’s household income (that is, 9.12% for 2023).</w:t>
      </w:r>
    </w:p>
    <w:p w14:paraId="0F750B52"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Likewise, the new rule interprets the ACA to require an eligible employer-sponsored plan to ensure a plan provides 60% minimum value coverage to related individuals. Finally, the rule directly states that an eligible employer-sponsored plan provides minimum value to a related individual only if, in addition to covering at least 60% of the total allowed costs of benefits provided to the related individual, the plan benefits include substantial coverage of inpatient hospital services and physician services.</w:t>
      </w:r>
    </w:p>
    <w:p w14:paraId="184010B9"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i/>
          <w:iCs/>
          <w:color w:val="777777"/>
          <w:sz w:val="21"/>
          <w:szCs w:val="21"/>
        </w:rPr>
        <w:t>Rule Does Not Apply to ALE Reporting or ESRP</w:t>
      </w:r>
    </w:p>
    <w:p w14:paraId="6CCE4B11"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Under the ACA, affordability and minimum value for PTC eligibility is different than for assessing ALE penalties under Code Section 4980H(b). The new rule is likely to create confusion given such similar terms, but it will not alter the affordability calculation or minimum value determination for any reason relating to annual ACA reporting or for assessing shared responsibility penalties. ALEs will not need to adjust any group health plan design, administrative processes or communications regarding affordability and minimum value, including any affordability safe harbor choice under ESRP rules.</w:t>
      </w:r>
    </w:p>
    <w:p w14:paraId="4122BE6A"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i/>
          <w:iCs/>
          <w:color w:val="777777"/>
          <w:sz w:val="21"/>
          <w:szCs w:val="21"/>
        </w:rPr>
        <w:t>Conclusion</w:t>
      </w:r>
    </w:p>
    <w:p w14:paraId="6CEFD06E"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Many advocacy groups welcome the final rule and point to the projected increase in the number of individuals who are likely to enroll in the Marketplace and receive a PTC for the first time. However, some observers read the preamble to the rule, especially its detailed statutory analysis, to signal that there could be litigation looming. In either event, the IRS plans to provide educational materials to consumers through </w:t>
      </w:r>
      <w:hyperlink r:id="rId11" w:tgtFrame="_blank" w:history="1">
        <w:r w:rsidRPr="0034249A">
          <w:rPr>
            <w:rFonts w:ascii="Open Sans" w:eastAsia="Times New Roman" w:hAnsi="Open Sans" w:cs="Open Sans"/>
            <w:color w:val="2881C4"/>
            <w:sz w:val="21"/>
            <w:szCs w:val="21"/>
            <w:u w:val="single"/>
          </w:rPr>
          <w:t>healthcare.gov</w:t>
        </w:r>
      </w:hyperlink>
      <w:r w:rsidRPr="0034249A">
        <w:rPr>
          <w:rFonts w:ascii="Open Sans" w:eastAsia="Times New Roman" w:hAnsi="Open Sans" w:cs="Open Sans"/>
          <w:color w:val="777777"/>
          <w:sz w:val="21"/>
          <w:szCs w:val="21"/>
        </w:rPr>
        <w:t> ahead of the upcoming Marketplace enrollment period. Employers should direct individuals to the site for more information.</w:t>
      </w:r>
    </w:p>
    <w:p w14:paraId="471C09B1"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w:t>
      </w:r>
    </w:p>
    <w:p w14:paraId="19AC9D5A" w14:textId="77777777" w:rsidR="0034249A" w:rsidRPr="0034249A" w:rsidRDefault="0034249A" w:rsidP="0034249A">
      <w:pPr>
        <w:shd w:val="clear" w:color="auto" w:fill="FFFFFF"/>
        <w:spacing w:after="210" w:line="240" w:lineRule="auto"/>
        <w:outlineLvl w:val="4"/>
        <w:rPr>
          <w:rFonts w:ascii="Open Sans" w:eastAsia="Times New Roman" w:hAnsi="Open Sans" w:cs="Open Sans"/>
          <w:caps/>
          <w:color w:val="21578A"/>
          <w:sz w:val="27"/>
          <w:szCs w:val="27"/>
        </w:rPr>
      </w:pPr>
      <w:r w:rsidRPr="0034249A">
        <w:rPr>
          <w:rFonts w:ascii="Open Sans" w:eastAsia="Times New Roman" w:hAnsi="Open Sans" w:cs="Open Sans"/>
          <w:caps/>
          <w:color w:val="00263A"/>
          <w:sz w:val="27"/>
          <w:szCs w:val="27"/>
        </w:rPr>
        <w:t>DECEMBER 27 DUE DATE FOR PRESCRIPTION DRUG COST REPORTING IS APPROACHING</w:t>
      </w:r>
    </w:p>
    <w:p w14:paraId="0E1D3534"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xml:space="preserve">As part of the Consolidated Appropriations Act of 2021 (CAA), group health plans and carriers will soon be required to report certain demographic and spending information about a plan’s prescription drug expenditures. The Departments will use this data to publish public reports on prescription drug reimbursements, pricing trends, and the impact of prescription drug costs on </w:t>
      </w:r>
      <w:r w:rsidRPr="0034249A">
        <w:rPr>
          <w:rFonts w:ascii="Open Sans" w:eastAsia="Times New Roman" w:hAnsi="Open Sans" w:cs="Open Sans"/>
          <w:color w:val="777777"/>
          <w:sz w:val="21"/>
          <w:szCs w:val="21"/>
        </w:rPr>
        <w:lastRenderedPageBreak/>
        <w:t>premium costs. The pharmacy reporting requirement generally applies to group health plans (both fully insured and self-insured) and carriers.</w:t>
      </w:r>
    </w:p>
    <w:p w14:paraId="118EC583"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The Centers for Medicare and Medicaid Service (CMS) released several FAQs that clarify requirements under the CAA for prescription drug reporting.</w:t>
      </w:r>
    </w:p>
    <w:p w14:paraId="2D3C0038"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12" w:tgtFrame="_blank" w:history="1">
        <w:r w:rsidRPr="0034249A">
          <w:rPr>
            <w:rFonts w:ascii="Open Sans" w:eastAsia="Times New Roman" w:hAnsi="Open Sans" w:cs="Open Sans"/>
            <w:color w:val="21578A"/>
            <w:sz w:val="21"/>
            <w:szCs w:val="21"/>
            <w:u w:val="single"/>
          </w:rPr>
          <w:t xml:space="preserve">Which wellness services should I include in the </w:t>
        </w:r>
        <w:proofErr w:type="spellStart"/>
        <w:r w:rsidRPr="0034249A">
          <w:rPr>
            <w:rFonts w:ascii="Open Sans" w:eastAsia="Times New Roman" w:hAnsi="Open Sans" w:cs="Open Sans"/>
            <w:color w:val="21578A"/>
            <w:sz w:val="21"/>
            <w:szCs w:val="21"/>
            <w:u w:val="single"/>
          </w:rPr>
          <w:t>RxDC</w:t>
        </w:r>
        <w:proofErr w:type="spellEnd"/>
        <w:r w:rsidRPr="0034249A">
          <w:rPr>
            <w:rFonts w:ascii="Open Sans" w:eastAsia="Times New Roman" w:hAnsi="Open Sans" w:cs="Open Sans"/>
            <w:color w:val="21578A"/>
            <w:sz w:val="21"/>
            <w:szCs w:val="21"/>
            <w:u w:val="single"/>
          </w:rPr>
          <w:t xml:space="preserve"> report?</w:t>
        </w:r>
      </w:hyperlink>
      <w:r w:rsidRPr="0034249A">
        <w:rPr>
          <w:rFonts w:ascii="Open Sans" w:eastAsia="Times New Roman" w:hAnsi="Open Sans" w:cs="Open Sans"/>
          <w:color w:val="777777"/>
          <w:sz w:val="21"/>
          <w:szCs w:val="21"/>
        </w:rPr>
        <w:t> (published 8/25/2022)</w:t>
      </w:r>
    </w:p>
    <w:p w14:paraId="71E11EB6"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13" w:tgtFrame="_blank" w:history="1">
        <w:r w:rsidRPr="0034249A">
          <w:rPr>
            <w:rFonts w:ascii="Open Sans" w:eastAsia="Times New Roman" w:hAnsi="Open Sans" w:cs="Open Sans"/>
            <w:color w:val="21578A"/>
            <w:sz w:val="21"/>
            <w:szCs w:val="21"/>
            <w:u w:val="single"/>
          </w:rPr>
          <w:t xml:space="preserve">Do the </w:t>
        </w:r>
        <w:proofErr w:type="spellStart"/>
        <w:r w:rsidRPr="0034249A">
          <w:rPr>
            <w:rFonts w:ascii="Open Sans" w:eastAsia="Times New Roman" w:hAnsi="Open Sans" w:cs="Open Sans"/>
            <w:color w:val="21578A"/>
            <w:sz w:val="21"/>
            <w:szCs w:val="21"/>
            <w:u w:val="single"/>
          </w:rPr>
          <w:t>RxDC</w:t>
        </w:r>
        <w:proofErr w:type="spellEnd"/>
        <w:r w:rsidRPr="0034249A">
          <w:rPr>
            <w:rFonts w:ascii="Open Sans" w:eastAsia="Times New Roman" w:hAnsi="Open Sans" w:cs="Open Sans"/>
            <w:color w:val="21578A"/>
            <w:sz w:val="21"/>
            <w:szCs w:val="21"/>
            <w:u w:val="single"/>
          </w:rPr>
          <w:t xml:space="preserve"> reporting requirements apply to limited-scope dental or limited-scope vision plans?</w:t>
        </w:r>
      </w:hyperlink>
      <w:r w:rsidRPr="0034249A">
        <w:rPr>
          <w:rFonts w:ascii="Open Sans" w:eastAsia="Times New Roman" w:hAnsi="Open Sans" w:cs="Open Sans"/>
          <w:color w:val="777777"/>
          <w:sz w:val="21"/>
          <w:szCs w:val="21"/>
        </w:rPr>
        <w:t> (published 8/25/2022)</w:t>
      </w:r>
    </w:p>
    <w:p w14:paraId="64641910"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14" w:tgtFrame="_blank" w:history="1">
        <w:r w:rsidRPr="0034249A">
          <w:rPr>
            <w:rFonts w:ascii="Open Sans" w:eastAsia="Times New Roman" w:hAnsi="Open Sans" w:cs="Open Sans"/>
            <w:color w:val="21578A"/>
            <w:sz w:val="21"/>
            <w:szCs w:val="21"/>
            <w:u w:val="single"/>
          </w:rPr>
          <w:t xml:space="preserve">Will there be training for </w:t>
        </w:r>
        <w:proofErr w:type="spellStart"/>
        <w:r w:rsidRPr="0034249A">
          <w:rPr>
            <w:rFonts w:ascii="Open Sans" w:eastAsia="Times New Roman" w:hAnsi="Open Sans" w:cs="Open Sans"/>
            <w:color w:val="21578A"/>
            <w:sz w:val="21"/>
            <w:szCs w:val="21"/>
            <w:u w:val="single"/>
          </w:rPr>
          <w:t>RxDC</w:t>
        </w:r>
        <w:proofErr w:type="spellEnd"/>
        <w:r w:rsidRPr="0034249A">
          <w:rPr>
            <w:rFonts w:ascii="Open Sans" w:eastAsia="Times New Roman" w:hAnsi="Open Sans" w:cs="Open Sans"/>
            <w:color w:val="21578A"/>
            <w:sz w:val="21"/>
            <w:szCs w:val="21"/>
            <w:u w:val="single"/>
          </w:rPr>
          <w:t>?</w:t>
        </w:r>
      </w:hyperlink>
      <w:r w:rsidRPr="0034249A">
        <w:rPr>
          <w:rFonts w:ascii="Open Sans" w:eastAsia="Times New Roman" w:hAnsi="Open Sans" w:cs="Open Sans"/>
          <w:color w:val="777777"/>
          <w:sz w:val="21"/>
          <w:szCs w:val="21"/>
        </w:rPr>
        <w:t> (published 8/25/2022)</w:t>
      </w:r>
    </w:p>
    <w:p w14:paraId="6F2258D8"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15" w:tgtFrame="_blank" w:history="1">
        <w:r w:rsidRPr="0034249A">
          <w:rPr>
            <w:rFonts w:ascii="Open Sans" w:eastAsia="Times New Roman" w:hAnsi="Open Sans" w:cs="Open Sans"/>
            <w:color w:val="21578A"/>
            <w:sz w:val="21"/>
            <w:szCs w:val="21"/>
            <w:u w:val="single"/>
          </w:rPr>
          <w:t xml:space="preserve">Where can I find the updated </w:t>
        </w:r>
        <w:proofErr w:type="spellStart"/>
        <w:r w:rsidRPr="0034249A">
          <w:rPr>
            <w:rFonts w:ascii="Open Sans" w:eastAsia="Times New Roman" w:hAnsi="Open Sans" w:cs="Open Sans"/>
            <w:color w:val="21578A"/>
            <w:sz w:val="21"/>
            <w:szCs w:val="21"/>
            <w:u w:val="single"/>
          </w:rPr>
          <w:t>RxDC</w:t>
        </w:r>
        <w:proofErr w:type="spellEnd"/>
        <w:r w:rsidRPr="0034249A">
          <w:rPr>
            <w:rFonts w:ascii="Open Sans" w:eastAsia="Times New Roman" w:hAnsi="Open Sans" w:cs="Open Sans"/>
            <w:color w:val="21578A"/>
            <w:sz w:val="21"/>
            <w:szCs w:val="21"/>
            <w:u w:val="single"/>
          </w:rPr>
          <w:t xml:space="preserve"> reporting instructions that were published on June 30, 2022?</w:t>
        </w:r>
      </w:hyperlink>
      <w:r w:rsidRPr="0034249A">
        <w:rPr>
          <w:rFonts w:ascii="Open Sans" w:eastAsia="Times New Roman" w:hAnsi="Open Sans" w:cs="Open Sans"/>
          <w:color w:val="777777"/>
          <w:sz w:val="21"/>
          <w:szCs w:val="21"/>
        </w:rPr>
        <w:t> (published 8/25/2022)</w:t>
      </w:r>
    </w:p>
    <w:p w14:paraId="13B7551A"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16" w:tgtFrame="_blank" w:history="1">
        <w:r w:rsidRPr="0034249A">
          <w:rPr>
            <w:rFonts w:ascii="Open Sans" w:eastAsia="Times New Roman" w:hAnsi="Open Sans" w:cs="Open Sans"/>
            <w:color w:val="21578A"/>
            <w:sz w:val="21"/>
            <w:szCs w:val="21"/>
            <w:u w:val="single"/>
          </w:rPr>
          <w:t>When can I submit my data in the Health Insurance Oversight System (HIOS)?</w:t>
        </w:r>
      </w:hyperlink>
      <w:r w:rsidRPr="0034249A">
        <w:rPr>
          <w:rFonts w:ascii="Open Sans" w:eastAsia="Times New Roman" w:hAnsi="Open Sans" w:cs="Open Sans"/>
          <w:color w:val="777777"/>
          <w:sz w:val="21"/>
          <w:szCs w:val="21"/>
        </w:rPr>
        <w:t> (published 8/25/2022)</w:t>
      </w:r>
    </w:p>
    <w:p w14:paraId="7B487905"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17" w:tgtFrame="_blank" w:history="1">
        <w:r w:rsidRPr="0034249A">
          <w:rPr>
            <w:rFonts w:ascii="Open Sans" w:eastAsia="Times New Roman" w:hAnsi="Open Sans" w:cs="Open Sans"/>
            <w:color w:val="21578A"/>
            <w:sz w:val="21"/>
            <w:szCs w:val="21"/>
            <w:u w:val="single"/>
          </w:rPr>
          <w:t xml:space="preserve">How should I handle vaccines for </w:t>
        </w:r>
        <w:proofErr w:type="spellStart"/>
        <w:r w:rsidRPr="0034249A">
          <w:rPr>
            <w:rFonts w:ascii="Open Sans" w:eastAsia="Times New Roman" w:hAnsi="Open Sans" w:cs="Open Sans"/>
            <w:color w:val="21578A"/>
            <w:sz w:val="21"/>
            <w:szCs w:val="21"/>
            <w:u w:val="single"/>
          </w:rPr>
          <w:t>RxDC</w:t>
        </w:r>
        <w:proofErr w:type="spellEnd"/>
        <w:r w:rsidRPr="0034249A">
          <w:rPr>
            <w:rFonts w:ascii="Open Sans" w:eastAsia="Times New Roman" w:hAnsi="Open Sans" w:cs="Open Sans"/>
            <w:color w:val="21578A"/>
            <w:sz w:val="21"/>
            <w:szCs w:val="21"/>
            <w:u w:val="single"/>
          </w:rPr>
          <w:t xml:space="preserve"> reporting purposes?</w:t>
        </w:r>
      </w:hyperlink>
      <w:r w:rsidRPr="0034249A">
        <w:rPr>
          <w:rFonts w:ascii="Open Sans" w:eastAsia="Times New Roman" w:hAnsi="Open Sans" w:cs="Open Sans"/>
          <w:color w:val="777777"/>
          <w:sz w:val="21"/>
          <w:szCs w:val="21"/>
        </w:rPr>
        <w:t> (published 9/1/2022)</w:t>
      </w:r>
    </w:p>
    <w:p w14:paraId="2657A5F6"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18" w:tgtFrame="_blank" w:history="1">
        <w:r w:rsidRPr="0034249A">
          <w:rPr>
            <w:rFonts w:ascii="Open Sans" w:eastAsia="Times New Roman" w:hAnsi="Open Sans" w:cs="Open Sans"/>
            <w:color w:val="21578A"/>
            <w:sz w:val="21"/>
            <w:szCs w:val="21"/>
            <w:u w:val="single"/>
          </w:rPr>
          <w:t xml:space="preserve">Does a group health plan need a HIOS Issuer ID or a HIOS Plan ID for </w:t>
        </w:r>
        <w:proofErr w:type="spellStart"/>
        <w:r w:rsidRPr="0034249A">
          <w:rPr>
            <w:rFonts w:ascii="Open Sans" w:eastAsia="Times New Roman" w:hAnsi="Open Sans" w:cs="Open Sans"/>
            <w:color w:val="21578A"/>
            <w:sz w:val="21"/>
            <w:szCs w:val="21"/>
            <w:u w:val="single"/>
          </w:rPr>
          <w:t>RxDC</w:t>
        </w:r>
        <w:proofErr w:type="spellEnd"/>
        <w:r w:rsidRPr="0034249A">
          <w:rPr>
            <w:rFonts w:ascii="Open Sans" w:eastAsia="Times New Roman" w:hAnsi="Open Sans" w:cs="Open Sans"/>
            <w:color w:val="21578A"/>
            <w:sz w:val="21"/>
            <w:szCs w:val="21"/>
            <w:u w:val="single"/>
          </w:rPr>
          <w:t xml:space="preserve"> Reporting?</w:t>
        </w:r>
      </w:hyperlink>
      <w:r w:rsidRPr="0034249A">
        <w:rPr>
          <w:rFonts w:ascii="Open Sans" w:eastAsia="Times New Roman" w:hAnsi="Open Sans" w:cs="Open Sans"/>
          <w:color w:val="777777"/>
          <w:sz w:val="21"/>
          <w:szCs w:val="21"/>
        </w:rPr>
        <w:t> (published 9/1/2022)</w:t>
      </w:r>
    </w:p>
    <w:p w14:paraId="0B868CA3"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19" w:tgtFrame="_blank" w:history="1">
        <w:r w:rsidRPr="0034249A">
          <w:rPr>
            <w:rFonts w:ascii="Open Sans" w:eastAsia="Times New Roman" w:hAnsi="Open Sans" w:cs="Open Sans"/>
            <w:color w:val="21578A"/>
            <w:sz w:val="21"/>
            <w:szCs w:val="21"/>
            <w:u w:val="single"/>
          </w:rPr>
          <w:t xml:space="preserve">I am a vendor submitting the </w:t>
        </w:r>
        <w:proofErr w:type="spellStart"/>
        <w:r w:rsidRPr="0034249A">
          <w:rPr>
            <w:rFonts w:ascii="Open Sans" w:eastAsia="Times New Roman" w:hAnsi="Open Sans" w:cs="Open Sans"/>
            <w:color w:val="21578A"/>
            <w:sz w:val="21"/>
            <w:szCs w:val="21"/>
            <w:u w:val="single"/>
          </w:rPr>
          <w:t>RxDC</w:t>
        </w:r>
        <w:proofErr w:type="spellEnd"/>
        <w:r w:rsidRPr="0034249A">
          <w:rPr>
            <w:rFonts w:ascii="Open Sans" w:eastAsia="Times New Roman" w:hAnsi="Open Sans" w:cs="Open Sans"/>
            <w:color w:val="21578A"/>
            <w:sz w:val="21"/>
            <w:szCs w:val="21"/>
            <w:u w:val="single"/>
          </w:rPr>
          <w:t xml:space="preserve"> report on behalf of a group health plan. Does the group health plan need to be registered in HIOS?</w:t>
        </w:r>
      </w:hyperlink>
      <w:r w:rsidRPr="0034249A">
        <w:rPr>
          <w:rFonts w:ascii="Open Sans" w:eastAsia="Times New Roman" w:hAnsi="Open Sans" w:cs="Open Sans"/>
          <w:color w:val="777777"/>
          <w:sz w:val="21"/>
          <w:szCs w:val="21"/>
        </w:rPr>
        <w:t> (published 9/1/2022)</w:t>
      </w:r>
    </w:p>
    <w:p w14:paraId="43CDFA85"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20" w:tgtFrame="_blank" w:history="1">
        <w:r w:rsidRPr="0034249A">
          <w:rPr>
            <w:rFonts w:ascii="Open Sans" w:eastAsia="Times New Roman" w:hAnsi="Open Sans" w:cs="Open Sans"/>
            <w:color w:val="21578A"/>
            <w:sz w:val="21"/>
            <w:szCs w:val="21"/>
            <w:u w:val="single"/>
          </w:rPr>
          <w:t xml:space="preserve">I am a vendor submitting the </w:t>
        </w:r>
        <w:proofErr w:type="spellStart"/>
        <w:r w:rsidRPr="0034249A">
          <w:rPr>
            <w:rFonts w:ascii="Open Sans" w:eastAsia="Times New Roman" w:hAnsi="Open Sans" w:cs="Open Sans"/>
            <w:color w:val="21578A"/>
            <w:sz w:val="21"/>
            <w:szCs w:val="21"/>
            <w:u w:val="single"/>
          </w:rPr>
          <w:t>RxDC</w:t>
        </w:r>
        <w:proofErr w:type="spellEnd"/>
        <w:r w:rsidRPr="0034249A">
          <w:rPr>
            <w:rFonts w:ascii="Open Sans" w:eastAsia="Times New Roman" w:hAnsi="Open Sans" w:cs="Open Sans"/>
            <w:color w:val="21578A"/>
            <w:sz w:val="21"/>
            <w:szCs w:val="21"/>
            <w:u w:val="single"/>
          </w:rPr>
          <w:t xml:space="preserve"> report for multiple clients. Can I create multiple submissions in the </w:t>
        </w:r>
        <w:proofErr w:type="spellStart"/>
        <w:r w:rsidRPr="0034249A">
          <w:rPr>
            <w:rFonts w:ascii="Open Sans" w:eastAsia="Times New Roman" w:hAnsi="Open Sans" w:cs="Open Sans"/>
            <w:color w:val="21578A"/>
            <w:sz w:val="21"/>
            <w:szCs w:val="21"/>
            <w:u w:val="single"/>
          </w:rPr>
          <w:t>RxDC</w:t>
        </w:r>
        <w:proofErr w:type="spellEnd"/>
        <w:r w:rsidRPr="0034249A">
          <w:rPr>
            <w:rFonts w:ascii="Open Sans" w:eastAsia="Times New Roman" w:hAnsi="Open Sans" w:cs="Open Sans"/>
            <w:color w:val="21578A"/>
            <w:sz w:val="21"/>
            <w:szCs w:val="21"/>
            <w:u w:val="single"/>
          </w:rPr>
          <w:t xml:space="preserve"> HIOS module?</w:t>
        </w:r>
      </w:hyperlink>
      <w:r w:rsidRPr="0034249A">
        <w:rPr>
          <w:rFonts w:ascii="Open Sans" w:eastAsia="Times New Roman" w:hAnsi="Open Sans" w:cs="Open Sans"/>
          <w:color w:val="777777"/>
          <w:sz w:val="21"/>
          <w:szCs w:val="21"/>
        </w:rPr>
        <w:t> (published 9/1/2022)</w:t>
      </w:r>
    </w:p>
    <w:p w14:paraId="501087B9"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21" w:tgtFrame="_blank" w:history="1">
        <w:r w:rsidRPr="0034249A">
          <w:rPr>
            <w:rFonts w:ascii="Open Sans" w:eastAsia="Times New Roman" w:hAnsi="Open Sans" w:cs="Open Sans"/>
            <w:color w:val="21578A"/>
            <w:sz w:val="21"/>
            <w:szCs w:val="21"/>
            <w:u w:val="single"/>
          </w:rPr>
          <w:t>May multiple reporting entities submit different data file types (D1 - D8) for the same plan or issuer?</w:t>
        </w:r>
      </w:hyperlink>
      <w:r w:rsidRPr="0034249A">
        <w:rPr>
          <w:rFonts w:ascii="Open Sans" w:eastAsia="Times New Roman" w:hAnsi="Open Sans" w:cs="Open Sans"/>
          <w:color w:val="777777"/>
          <w:sz w:val="21"/>
          <w:szCs w:val="21"/>
        </w:rPr>
        <w:t> (published 9/23/2022)</w:t>
      </w:r>
    </w:p>
    <w:p w14:paraId="2533A205"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22" w:tgtFrame="_blank" w:history="1">
        <w:r w:rsidRPr="0034249A">
          <w:rPr>
            <w:rFonts w:ascii="Open Sans" w:eastAsia="Times New Roman" w:hAnsi="Open Sans" w:cs="Open Sans"/>
            <w:color w:val="21578A"/>
            <w:sz w:val="21"/>
            <w:szCs w:val="21"/>
            <w:u w:val="single"/>
          </w:rPr>
          <w:t>When multiple reporting entities submit data files for the same plan or issuer, does each reporting entity need to submit a plan list (P1, P2, and/or P3)?</w:t>
        </w:r>
      </w:hyperlink>
      <w:r w:rsidRPr="0034249A">
        <w:rPr>
          <w:rFonts w:ascii="Open Sans" w:eastAsia="Times New Roman" w:hAnsi="Open Sans" w:cs="Open Sans"/>
          <w:color w:val="777777"/>
          <w:sz w:val="21"/>
          <w:szCs w:val="21"/>
        </w:rPr>
        <w:t> (published 9/23/2022)</w:t>
      </w:r>
    </w:p>
    <w:p w14:paraId="48DB5D2D"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23" w:tgtFrame="_blank" w:history="1">
        <w:r w:rsidRPr="0034249A">
          <w:rPr>
            <w:rFonts w:ascii="Open Sans" w:eastAsia="Times New Roman" w:hAnsi="Open Sans" w:cs="Open Sans"/>
            <w:color w:val="21578A"/>
            <w:sz w:val="21"/>
            <w:szCs w:val="21"/>
            <w:u w:val="single"/>
          </w:rPr>
          <w:t>When multiple reporting entities submit data files for the same plan or issuer, does each reporting entity need to fill out every field in the plan list?</w:t>
        </w:r>
      </w:hyperlink>
      <w:r w:rsidRPr="0034249A">
        <w:rPr>
          <w:rFonts w:ascii="Open Sans" w:eastAsia="Times New Roman" w:hAnsi="Open Sans" w:cs="Open Sans"/>
          <w:color w:val="777777"/>
          <w:sz w:val="21"/>
          <w:szCs w:val="21"/>
        </w:rPr>
        <w:t> (published 9/23/2022)</w:t>
      </w:r>
    </w:p>
    <w:p w14:paraId="22926C81"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24" w:tgtFrame="_blank" w:history="1">
        <w:r w:rsidRPr="0034249A">
          <w:rPr>
            <w:rFonts w:ascii="Open Sans" w:eastAsia="Times New Roman" w:hAnsi="Open Sans" w:cs="Open Sans"/>
            <w:color w:val="21578A"/>
            <w:sz w:val="21"/>
            <w:szCs w:val="21"/>
            <w:u w:val="single"/>
          </w:rPr>
          <w:t>May multiple reporting entities submit the same data file type for the same plan or issuer?</w:t>
        </w:r>
      </w:hyperlink>
      <w:r w:rsidRPr="0034249A">
        <w:rPr>
          <w:rFonts w:ascii="Open Sans" w:eastAsia="Times New Roman" w:hAnsi="Open Sans" w:cs="Open Sans"/>
          <w:color w:val="777777"/>
          <w:sz w:val="21"/>
          <w:szCs w:val="21"/>
        </w:rPr>
        <w:t> (published 9/23/2022)</w:t>
      </w:r>
    </w:p>
    <w:p w14:paraId="66594C94"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25" w:tgtFrame="_blank" w:history="1">
        <w:r w:rsidRPr="0034249A">
          <w:rPr>
            <w:rFonts w:ascii="Open Sans" w:eastAsia="Times New Roman" w:hAnsi="Open Sans" w:cs="Open Sans"/>
            <w:color w:val="21578A"/>
            <w:sz w:val="21"/>
            <w:szCs w:val="21"/>
            <w:u w:val="single"/>
          </w:rPr>
          <w:t>How do I determine the top 50 drugs with the greatest increase in spending in D5 for a client if the client had a different reporting entity in the previous reference year?</w:t>
        </w:r>
      </w:hyperlink>
      <w:r w:rsidRPr="0034249A">
        <w:rPr>
          <w:rFonts w:ascii="Open Sans" w:eastAsia="Times New Roman" w:hAnsi="Open Sans" w:cs="Open Sans"/>
          <w:color w:val="777777"/>
          <w:sz w:val="21"/>
          <w:szCs w:val="21"/>
        </w:rPr>
        <w:t> (revised 10/4/2022)</w:t>
      </w:r>
    </w:p>
    <w:p w14:paraId="0ADBC10E" w14:textId="77777777" w:rsidR="0034249A" w:rsidRPr="0034249A" w:rsidRDefault="0034249A" w:rsidP="0034249A">
      <w:pPr>
        <w:numPr>
          <w:ilvl w:val="0"/>
          <w:numId w:val="1"/>
        </w:numPr>
        <w:shd w:val="clear" w:color="auto" w:fill="FFFFFF"/>
        <w:spacing w:after="150" w:line="360" w:lineRule="atLeast"/>
        <w:ind w:left="945"/>
        <w:rPr>
          <w:rFonts w:ascii="Open Sans" w:eastAsia="Times New Roman" w:hAnsi="Open Sans" w:cs="Open Sans"/>
          <w:color w:val="777777"/>
          <w:sz w:val="21"/>
          <w:szCs w:val="21"/>
        </w:rPr>
      </w:pPr>
      <w:hyperlink r:id="rId26" w:tgtFrame="_blank" w:history="1">
        <w:r w:rsidRPr="0034249A">
          <w:rPr>
            <w:rFonts w:ascii="Open Sans" w:eastAsia="Times New Roman" w:hAnsi="Open Sans" w:cs="Open Sans"/>
            <w:color w:val="21578A"/>
            <w:sz w:val="21"/>
            <w:szCs w:val="21"/>
            <w:u w:val="single"/>
          </w:rPr>
          <w:t>How do I calculate restated prior year rebates, fees, and other remuneration in data files D6 - D8 for a client if the client had a different reporting entity in a previous reference year?</w:t>
        </w:r>
      </w:hyperlink>
      <w:r w:rsidRPr="0034249A">
        <w:rPr>
          <w:rFonts w:ascii="Open Sans" w:eastAsia="Times New Roman" w:hAnsi="Open Sans" w:cs="Open Sans"/>
          <w:color w:val="777777"/>
          <w:sz w:val="21"/>
          <w:szCs w:val="21"/>
        </w:rPr>
        <w:t> (published 9/23/2022)</w:t>
      </w:r>
    </w:p>
    <w:p w14:paraId="2B89F028"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i/>
          <w:iCs/>
          <w:color w:val="777777"/>
          <w:sz w:val="21"/>
          <w:szCs w:val="21"/>
        </w:rPr>
        <w:t>Employer Action Items</w:t>
      </w:r>
    </w:p>
    <w:p w14:paraId="65CEFF9A"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Group health plans and carriers are required to submit their first </w:t>
      </w:r>
      <w:hyperlink r:id="rId27" w:tgtFrame="_blank" w:history="1">
        <w:r w:rsidRPr="0034249A">
          <w:rPr>
            <w:rFonts w:ascii="Open Sans" w:eastAsia="Times New Roman" w:hAnsi="Open Sans" w:cs="Open Sans"/>
            <w:color w:val="2881C4"/>
            <w:sz w:val="21"/>
            <w:szCs w:val="21"/>
            <w:u w:val="single"/>
          </w:rPr>
          <w:t>pharmacy report</w:t>
        </w:r>
      </w:hyperlink>
      <w:r w:rsidRPr="0034249A">
        <w:rPr>
          <w:rFonts w:ascii="Open Sans" w:eastAsia="Times New Roman" w:hAnsi="Open Sans" w:cs="Open Sans"/>
          <w:color w:val="777777"/>
          <w:sz w:val="21"/>
          <w:szCs w:val="21"/>
        </w:rPr>
        <w:t> by December 27, 2022 (for calendar years 2020 and 2021) and will need the assistance of their carriers, TPAs, PBMs, or other similar vendors. Fully insured groups should confirm with their carriers that they will comply with this requirement and obtain this in a written document. Self-insured groups should identify and contract with their TPA or PBM to fulfill this requirement on the plan’s behalf.</w:t>
      </w:r>
    </w:p>
    <w:p w14:paraId="5130A550" w14:textId="77777777" w:rsidR="0034249A" w:rsidRPr="0034249A" w:rsidRDefault="0034249A" w:rsidP="0034249A">
      <w:pPr>
        <w:shd w:val="clear" w:color="auto" w:fill="FFFFFF"/>
        <w:spacing w:after="150" w:line="360" w:lineRule="atLeast"/>
        <w:rPr>
          <w:rFonts w:ascii="Open Sans" w:eastAsia="Times New Roman" w:hAnsi="Open Sans" w:cs="Open Sans"/>
          <w:color w:val="777777"/>
          <w:sz w:val="21"/>
          <w:szCs w:val="21"/>
        </w:rPr>
      </w:pPr>
      <w:r w:rsidRPr="0034249A">
        <w:rPr>
          <w:rFonts w:ascii="Open Sans" w:eastAsia="Times New Roman" w:hAnsi="Open Sans" w:cs="Open Sans"/>
          <w:color w:val="777777"/>
          <w:sz w:val="21"/>
          <w:szCs w:val="21"/>
        </w:rPr>
        <w:t> </w:t>
      </w:r>
    </w:p>
    <w:p w14:paraId="26C05374" w14:textId="77777777" w:rsidR="0034249A" w:rsidRDefault="0034249A"/>
    <w:sectPr w:rsidR="0034249A">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3493" w14:textId="77777777" w:rsidR="007E4837" w:rsidRDefault="007E4837" w:rsidP="0034249A">
      <w:pPr>
        <w:spacing w:after="0" w:line="240" w:lineRule="auto"/>
      </w:pPr>
      <w:r>
        <w:separator/>
      </w:r>
    </w:p>
  </w:endnote>
  <w:endnote w:type="continuationSeparator" w:id="0">
    <w:p w14:paraId="279786B1" w14:textId="77777777" w:rsidR="007E4837" w:rsidRDefault="007E4837" w:rsidP="0034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16FA" w14:textId="77777777" w:rsidR="007E4837" w:rsidRDefault="007E4837" w:rsidP="0034249A">
      <w:pPr>
        <w:spacing w:after="0" w:line="240" w:lineRule="auto"/>
      </w:pPr>
      <w:r>
        <w:separator/>
      </w:r>
    </w:p>
  </w:footnote>
  <w:footnote w:type="continuationSeparator" w:id="0">
    <w:p w14:paraId="11BD8A97" w14:textId="77777777" w:rsidR="007E4837" w:rsidRDefault="007E4837" w:rsidP="00342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433" w14:textId="2B1F251B" w:rsidR="0034249A" w:rsidRPr="0034249A" w:rsidRDefault="0034249A">
    <w:pPr>
      <w:pStyle w:val="Header"/>
      <w:rPr>
        <w:rFonts w:asciiTheme="majorHAnsi" w:hAnsiTheme="majorHAnsi" w:cstheme="majorHAnsi"/>
        <w:color w:val="1F3864" w:themeColor="accent1" w:themeShade="80"/>
        <w:sz w:val="36"/>
        <w:szCs w:val="36"/>
      </w:rPr>
    </w:pPr>
    <w:r w:rsidRPr="0034249A">
      <w:rPr>
        <w:rFonts w:asciiTheme="majorHAnsi" w:hAnsiTheme="majorHAnsi" w:cstheme="majorHAnsi"/>
        <w:color w:val="1F3864" w:themeColor="accent1" w:themeShade="80"/>
        <w:sz w:val="36"/>
        <w:szCs w:val="36"/>
      </w:rPr>
      <w:t xml:space="preserve">October 2022 Compliance Recap </w:t>
    </w:r>
  </w:p>
  <w:p w14:paraId="63FB3348" w14:textId="59FA0799" w:rsidR="0034249A" w:rsidRDefault="0034249A">
    <w:pPr>
      <w:pStyle w:val="Header"/>
    </w:pPr>
    <w:r>
      <w:t xml:space="preserve">Presented By United Benefits Advisors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3387E"/>
    <w:multiLevelType w:val="multilevel"/>
    <w:tmpl w:val="006A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08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9A"/>
    <w:rsid w:val="0034249A"/>
    <w:rsid w:val="0038631E"/>
    <w:rsid w:val="00427646"/>
    <w:rsid w:val="007E4837"/>
    <w:rsid w:val="00DD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8B39"/>
  <w15:chartTrackingRefBased/>
  <w15:docId w15:val="{9CE0E1A5-F1BA-4759-B0EF-3307FB2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49A"/>
  </w:style>
  <w:style w:type="paragraph" w:styleId="Footer">
    <w:name w:val="footer"/>
    <w:basedOn w:val="Normal"/>
    <w:link w:val="FooterChar"/>
    <w:uiPriority w:val="99"/>
    <w:unhideWhenUsed/>
    <w:rsid w:val="00342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68995">
      <w:bodyDiv w:val="1"/>
      <w:marLeft w:val="0"/>
      <w:marRight w:val="0"/>
      <w:marTop w:val="0"/>
      <w:marBottom w:val="0"/>
      <w:divBdr>
        <w:top w:val="none" w:sz="0" w:space="0" w:color="auto"/>
        <w:left w:val="none" w:sz="0" w:space="0" w:color="auto"/>
        <w:bottom w:val="none" w:sz="0" w:space="0" w:color="auto"/>
        <w:right w:val="none" w:sz="0" w:space="0" w:color="auto"/>
      </w:divBdr>
      <w:divsChild>
        <w:div w:id="136840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forms-pubs/about-form-1095-b" TargetMode="External"/><Relationship Id="rId13" Type="http://schemas.openxmlformats.org/officeDocument/2006/relationships/hyperlink" Target="https://regtap.cms.gov/faq_viewe.php?i=23095" TargetMode="External"/><Relationship Id="rId18" Type="http://schemas.openxmlformats.org/officeDocument/2006/relationships/hyperlink" Target="https://regtap.cms.gov/faq_viewe.php?i=23106" TargetMode="External"/><Relationship Id="rId26" Type="http://schemas.openxmlformats.org/officeDocument/2006/relationships/hyperlink" Target="https://regtap.cms.gov/faq_viewe.php?i=23130" TargetMode="External"/><Relationship Id="rId3" Type="http://schemas.openxmlformats.org/officeDocument/2006/relationships/settings" Target="settings.xml"/><Relationship Id="rId21" Type="http://schemas.openxmlformats.org/officeDocument/2006/relationships/hyperlink" Target="https://regtap.cms.gov/faq_viewe.php?i=23125" TargetMode="External"/><Relationship Id="rId7" Type="http://schemas.openxmlformats.org/officeDocument/2006/relationships/hyperlink" Target="https://www.irs.gov/forms-pubs/about-form-1094-b" TargetMode="External"/><Relationship Id="rId12" Type="http://schemas.openxmlformats.org/officeDocument/2006/relationships/hyperlink" Target="https://regtap.cms.gov/faq_viewe.php?i=23094" TargetMode="External"/><Relationship Id="rId17" Type="http://schemas.openxmlformats.org/officeDocument/2006/relationships/hyperlink" Target="https://regtap.cms.gov/faq_viewe.php?i=23105" TargetMode="External"/><Relationship Id="rId25" Type="http://schemas.openxmlformats.org/officeDocument/2006/relationships/hyperlink" Target="https://regtap.cms.gov/faq_viewe.php?i=23129" TargetMode="External"/><Relationship Id="rId2" Type="http://schemas.openxmlformats.org/officeDocument/2006/relationships/styles" Target="styles.xml"/><Relationship Id="rId16" Type="http://schemas.openxmlformats.org/officeDocument/2006/relationships/hyperlink" Target="https://regtap.cms.gov/faq_viewe.php?i=23098" TargetMode="External"/><Relationship Id="rId20" Type="http://schemas.openxmlformats.org/officeDocument/2006/relationships/hyperlink" Target="https://regtap.cms.gov/faq_viewe.php?i=2310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care.gov/" TargetMode="External"/><Relationship Id="rId24" Type="http://schemas.openxmlformats.org/officeDocument/2006/relationships/hyperlink" Target="https://regtap.cms.gov/faq_viewe.php?i=23128" TargetMode="External"/><Relationship Id="rId5" Type="http://schemas.openxmlformats.org/officeDocument/2006/relationships/footnotes" Target="footnotes.xml"/><Relationship Id="rId15" Type="http://schemas.openxmlformats.org/officeDocument/2006/relationships/hyperlink" Target="https://regtap.cms.gov/faq_viewe.php?i=23097" TargetMode="External"/><Relationship Id="rId23" Type="http://schemas.openxmlformats.org/officeDocument/2006/relationships/hyperlink" Target="https://regtap.cms.gov/faq_viewe.php?i=23127" TargetMode="External"/><Relationship Id="rId28" Type="http://schemas.openxmlformats.org/officeDocument/2006/relationships/header" Target="header1.xml"/><Relationship Id="rId10" Type="http://schemas.openxmlformats.org/officeDocument/2006/relationships/hyperlink" Target="https://www.irs.gov/forms-pubs/about-form-1095-c" TargetMode="External"/><Relationship Id="rId19" Type="http://schemas.openxmlformats.org/officeDocument/2006/relationships/hyperlink" Target="https://regtap.cms.gov/faq_viewe.php?i=23107" TargetMode="External"/><Relationship Id="rId4" Type="http://schemas.openxmlformats.org/officeDocument/2006/relationships/webSettings" Target="webSettings.xml"/><Relationship Id="rId9" Type="http://schemas.openxmlformats.org/officeDocument/2006/relationships/hyperlink" Target="https://www.irs.gov/forms-pubs/about-form-1094-c" TargetMode="External"/><Relationship Id="rId14" Type="http://schemas.openxmlformats.org/officeDocument/2006/relationships/hyperlink" Target="https://regtap.cms.gov/faq_viewe.php?i=23096" TargetMode="External"/><Relationship Id="rId22" Type="http://schemas.openxmlformats.org/officeDocument/2006/relationships/hyperlink" Target="https://regtap.cms.gov/faq_viewe.php?i=23126" TargetMode="External"/><Relationship Id="rId27" Type="http://schemas.openxmlformats.org/officeDocument/2006/relationships/hyperlink" Target="https://www.cms.gov/CCIIO/Programs-and-Initiatives/Other-Insurance-Protections/Prescription-Drug-Data-Collec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Seip</dc:creator>
  <cp:keywords/>
  <dc:description/>
  <cp:lastModifiedBy>Danielle Seip</cp:lastModifiedBy>
  <cp:revision>1</cp:revision>
  <dcterms:created xsi:type="dcterms:W3CDTF">2023-05-11T17:37:00Z</dcterms:created>
  <dcterms:modified xsi:type="dcterms:W3CDTF">2023-05-11T17:40:00Z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b1cfc63e-844d-4e21-8190-c83e70490679</vt:lpwstr>
  </property>
</Properties>
</file>